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B5B1C" w14:textId="3E76396F" w:rsidR="00ED13D3" w:rsidRDefault="00ED13D3" w:rsidP="00ED13D3">
      <w:pPr>
        <w:spacing w:before="0" w:after="160" w:line="278" w:lineRule="auto"/>
        <w:rPr>
          <w:rFonts w:asciiTheme="minorHAnsi" w:eastAsia="Calibri" w:hAnsiTheme="minorHAnsi" w:cstheme="minorHAnsi"/>
          <w:b/>
          <w:bCs/>
          <w:kern w:val="2"/>
          <w14:ligatures w14:val="standardContextual"/>
        </w:rPr>
      </w:pPr>
      <w:r w:rsidRPr="00ED13D3">
        <w:rPr>
          <w:rFonts w:asciiTheme="minorHAnsi" w:eastAsia="Calibri" w:hAnsiTheme="minorHAnsi" w:cstheme="minorHAnsi"/>
          <w:b/>
          <w:bCs/>
          <w:kern w:val="2"/>
          <w14:ligatures w14:val="standardContextual"/>
        </w:rPr>
        <w:t>Poprawa cyberbezpieczeństwa w gminie Drawsko Pomorskie i jednostkach podległych.</w:t>
      </w:r>
    </w:p>
    <w:p w14:paraId="31E457A1" w14:textId="3C326B0D" w:rsidR="002026E0" w:rsidRPr="00E379B1" w:rsidRDefault="004617D7" w:rsidP="002026E0">
      <w:pPr>
        <w:spacing w:before="0" w:after="160" w:line="278" w:lineRule="auto"/>
        <w:rPr>
          <w:rFonts w:eastAsia="Calibri"/>
          <w:bCs/>
          <w:kern w:val="2"/>
          <w14:ligatures w14:val="standardContextual"/>
        </w:rPr>
      </w:pPr>
      <w:r w:rsidRPr="00E379B1">
        <w:rPr>
          <w:rFonts w:eastAsia="Calibri"/>
          <w:bCs/>
          <w:kern w:val="2"/>
          <w14:ligatures w14:val="standardContextual"/>
        </w:rPr>
        <w:t xml:space="preserve">Część </w:t>
      </w:r>
      <w:r w:rsidR="00FA7059" w:rsidRPr="00E379B1">
        <w:rPr>
          <w:rFonts w:eastAsia="Calibri"/>
          <w:bCs/>
          <w:kern w:val="2"/>
          <w14:ligatures w14:val="standardContextual"/>
        </w:rPr>
        <w:t xml:space="preserve"> II</w:t>
      </w:r>
      <w:r w:rsidR="002026E0" w:rsidRPr="00E379B1">
        <w:rPr>
          <w:rFonts w:eastAsia="Calibri"/>
          <w:bCs/>
          <w:kern w:val="2"/>
          <w14:ligatures w14:val="standardContextual"/>
        </w:rPr>
        <w:t xml:space="preserve"> – </w:t>
      </w:r>
      <w:r w:rsidR="0010070D" w:rsidRPr="00E379B1">
        <w:rPr>
          <w:rFonts w:eastAsia="Calibri"/>
          <w:bCs/>
          <w:kern w:val="2"/>
          <w14:ligatures w14:val="standardContextual"/>
        </w:rPr>
        <w:t>Dostawa Serwerów, switchy, UTM</w:t>
      </w:r>
      <w:r w:rsidR="00D73CC0" w:rsidRPr="00E379B1">
        <w:rPr>
          <w:rFonts w:eastAsia="Calibri"/>
          <w:bCs/>
          <w:kern w:val="2"/>
          <w14:ligatures w14:val="standardContextual"/>
        </w:rPr>
        <w:t>.</w:t>
      </w:r>
      <w:r w:rsidR="00624764">
        <w:rPr>
          <w:rFonts w:eastAsia="Calibri"/>
          <w:bCs/>
          <w:kern w:val="2"/>
          <w14:ligatures w14:val="standardContextual"/>
        </w:rPr>
        <w:t xml:space="preserve"> </w:t>
      </w:r>
      <w:bookmarkStart w:id="0" w:name="_GoBack"/>
      <w:bookmarkEnd w:id="0"/>
    </w:p>
    <w:p w14:paraId="7FC15B7C" w14:textId="467A802A" w:rsidR="0010070D" w:rsidRPr="00E379B1" w:rsidRDefault="0010070D" w:rsidP="0010070D">
      <w:pPr>
        <w:spacing w:after="160" w:line="276" w:lineRule="auto"/>
        <w:rPr>
          <w:rFonts w:eastAsia="Calibri" w:cs="Calibri"/>
        </w:rPr>
      </w:pPr>
      <w:r w:rsidRPr="00E379B1">
        <w:rPr>
          <w:rFonts w:ascii="Arial" w:eastAsia="Calibri" w:hAnsi="Arial" w:cs="Arial"/>
          <w:bCs/>
          <w:color w:val="000000"/>
          <w:kern w:val="2"/>
          <w:sz w:val="20"/>
          <w:szCs w:val="20"/>
        </w:rPr>
        <w:t>Poz. nr 1 - Dostawa Switchy – 4 szt.</w:t>
      </w:r>
      <w:r w:rsidRPr="00E379B1">
        <w:rPr>
          <w:rFonts w:ascii="Arial" w:eastAsia="Calibri" w:hAnsi="Arial" w:cs="Arial"/>
          <w:bCs/>
          <w:color w:val="FF0000"/>
          <w:kern w:val="2"/>
          <w:sz w:val="20"/>
          <w:szCs w:val="20"/>
        </w:rPr>
        <w:t xml:space="preserve"> </w:t>
      </w:r>
    </w:p>
    <w:tbl>
      <w:tblPr>
        <w:tblW w:w="1005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396"/>
        <w:gridCol w:w="6663"/>
      </w:tblGrid>
      <w:tr w:rsidR="0010070D" w14:paraId="5DA44F3D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F9BD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Porty gigabitowe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B0B7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8</w:t>
            </w:r>
          </w:p>
        </w:tc>
      </w:tr>
      <w:tr w:rsidR="0010070D" w14:paraId="1169961B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0C409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Maks. liczba wejść MAC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D3DD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4K</w:t>
            </w:r>
          </w:p>
        </w:tc>
      </w:tr>
      <w:tr w:rsidR="0010070D" w14:paraId="2F389E22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442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Rozmiar bufora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45F4A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192KB</w:t>
            </w:r>
          </w:p>
        </w:tc>
      </w:tr>
      <w:tr w:rsidR="0010070D" w14:paraId="232AC2DF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48C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Liczba obsługiwanych sieci VLAN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FC1D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64</w:t>
            </w:r>
          </w:p>
        </w:tc>
      </w:tr>
      <w:tr w:rsidR="0010070D" w14:paraId="19C0BFA5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B2CA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Liczba LAG oraz łącz składowych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B7B0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2 tryby agregacji łączy – maks. 4 uczestników w każdym trybie</w:t>
            </w:r>
          </w:p>
        </w:tc>
      </w:tr>
      <w:tr w:rsidR="0010070D" w14:paraId="166AA8E4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4D537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Obsługiwane grupy Multicast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6245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128</w:t>
            </w:r>
          </w:p>
        </w:tc>
      </w:tr>
      <w:tr w:rsidR="0010070D" w14:paraId="78AA3613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DF2A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Maks. liczba dozwolonych portów źródłowych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35AA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7</w:t>
            </w:r>
          </w:p>
        </w:tc>
      </w:tr>
      <w:tr w:rsidR="0010070D" w14:paraId="24DB72A7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95C95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Zasilacz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18655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Zewnętrzny</w:t>
            </w:r>
          </w:p>
        </w:tc>
      </w:tr>
      <w:tr w:rsidR="0010070D" w14:paraId="05895F7E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A293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Wejście zasilania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E85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12 V/1,5A</w:t>
            </w:r>
          </w:p>
        </w:tc>
      </w:tr>
      <w:tr w:rsidR="0010070D" w14:paraId="795A5CE5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261D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Maks. pobór mocy (W)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E8FF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Maksymalnie 3,7W</w:t>
            </w:r>
          </w:p>
        </w:tc>
      </w:tr>
      <w:tr w:rsidR="0010070D" w14:paraId="6FA5BE61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AC15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Wentylatory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F683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brak</w:t>
            </w:r>
          </w:p>
        </w:tc>
      </w:tr>
      <w:tr w:rsidR="0010070D" w14:paraId="4D58316C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5715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Poziom hałasu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27C9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26 C (dBA) maks</w:t>
            </w:r>
          </w:p>
        </w:tc>
      </w:tr>
      <w:tr w:rsidR="0010070D" w14:paraId="68328398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CC92F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Temperatura otoczenia podczas pracy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FED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 Od 0 do 50°C maks</w:t>
            </w:r>
          </w:p>
        </w:tc>
      </w:tr>
      <w:tr w:rsidR="0010070D" w14:paraId="4D8924C3" w14:textId="77777777" w:rsidTr="00864954"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F5F18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MTBF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05BF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 xml:space="preserve"> min 2 463 000 godz.</w:t>
            </w:r>
          </w:p>
        </w:tc>
      </w:tr>
    </w:tbl>
    <w:p w14:paraId="21542568" w14:textId="77777777" w:rsidR="0010070D" w:rsidRDefault="0010070D" w:rsidP="0010070D">
      <w:pPr>
        <w:spacing w:after="160" w:line="276" w:lineRule="auto"/>
        <w:rPr>
          <w:rFonts w:eastAsia="Calibri"/>
        </w:rPr>
      </w:pPr>
    </w:p>
    <w:p w14:paraId="342BD515" w14:textId="72020A34" w:rsidR="0010070D" w:rsidRDefault="0010070D" w:rsidP="0010070D">
      <w:pPr>
        <w:spacing w:after="160" w:line="276" w:lineRule="auto"/>
        <w:rPr>
          <w:rFonts w:eastAsia="Calibri"/>
        </w:rPr>
      </w:pPr>
      <w:r w:rsidRPr="0010070D">
        <w:rPr>
          <w:rFonts w:ascii="Arial" w:eastAsia="Calibri" w:hAnsi="Arial"/>
          <w:b/>
          <w:bCs/>
          <w:kern w:val="2"/>
          <w:sz w:val="20"/>
          <w:szCs w:val="20"/>
        </w:rPr>
        <w:t xml:space="preserve">Poz. nr </w:t>
      </w:r>
      <w:r w:rsidR="00A66B15">
        <w:rPr>
          <w:rFonts w:ascii="Arial" w:eastAsia="Calibri" w:hAnsi="Arial"/>
          <w:b/>
          <w:bCs/>
          <w:kern w:val="2"/>
          <w:sz w:val="20"/>
          <w:szCs w:val="20"/>
        </w:rPr>
        <w:t>2</w:t>
      </w:r>
      <w:r w:rsidRPr="0010070D">
        <w:rPr>
          <w:rFonts w:ascii="Arial" w:eastAsia="Calibri" w:hAnsi="Arial"/>
          <w:b/>
          <w:bCs/>
          <w:kern w:val="2"/>
          <w:sz w:val="20"/>
          <w:szCs w:val="20"/>
        </w:rPr>
        <w:t xml:space="preserve"> - </w:t>
      </w:r>
      <w:r>
        <w:rPr>
          <w:rFonts w:ascii="Arial" w:eastAsia="Calibri" w:hAnsi="Arial"/>
          <w:b/>
          <w:bCs/>
          <w:kern w:val="2"/>
          <w:sz w:val="20"/>
          <w:szCs w:val="20"/>
        </w:rPr>
        <w:t xml:space="preserve">Dostawa serwera -  2 szt. </w:t>
      </w:r>
    </w:p>
    <w:tbl>
      <w:tblPr>
        <w:tblW w:w="10060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807"/>
        <w:gridCol w:w="8253"/>
      </w:tblGrid>
      <w:tr w:rsidR="0010070D" w14:paraId="3DA9977B" w14:textId="77777777" w:rsidTr="00864954">
        <w:trPr>
          <w:trHeight w:val="21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A595A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Obudowa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2998E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Obudowa typu Tower z możliwością instalacji 3 dysków twardych 3,5”.</w:t>
            </w:r>
          </w:p>
        </w:tc>
      </w:tr>
      <w:tr w:rsidR="0010070D" w14:paraId="738DF38D" w14:textId="77777777" w:rsidTr="00864954">
        <w:trPr>
          <w:trHeight w:val="631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51AAF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t>Płyta główna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6C9C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Płyta główna z możliwością instalacji jednego fizycznego procesora,</w:t>
            </w:r>
          </w:p>
          <w:p w14:paraId="46BC8FFD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Płyta główna posiadająca minimum 4 sloty na pamięć RAM UDIMM z możliwością zainstalowania do minimum 128GB pamięci RAM,</w:t>
            </w:r>
          </w:p>
          <w:p w14:paraId="4AECA54A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Płyta główna zaprojektowana przez producenta serwera i oznaczona trwale jego znakiem firmowym.</w:t>
            </w:r>
          </w:p>
        </w:tc>
      </w:tr>
      <w:tr w:rsidR="0010070D" w14:paraId="38B8BC79" w14:textId="77777777" w:rsidTr="00864954">
        <w:trPr>
          <w:trHeight w:val="58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691A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Procesor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DCE1B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Zainstalowany jeden procesor min. 4-rdzeniowy, min. 2.6GHz, klasy x86, dedykowany do pracy z zaoferowanym serwerem, umożliwiający osiągnięcie wyniku min. 39.6 w teście SPECrate2017_int_base, dostępnym na stronie www.spec.org.</w:t>
            </w:r>
          </w:p>
        </w:tc>
      </w:tr>
      <w:tr w:rsidR="0010070D" w14:paraId="5A7C0812" w14:textId="77777777" w:rsidTr="00864954">
        <w:trPr>
          <w:trHeight w:val="21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3F8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Pamięć RAM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9FD02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32 GB pamięci RAM UDIMM o częstotliwości taktowania minimum 5600MHz</w:t>
            </w:r>
          </w:p>
        </w:tc>
      </w:tr>
      <w:tr w:rsidR="0010070D" w14:paraId="5D767D27" w14:textId="77777777" w:rsidTr="00864954">
        <w:trPr>
          <w:trHeight w:val="435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E8C47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kern w:val="2"/>
              </w:rPr>
              <w:t>Kontroler RAID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875A7" w14:textId="77777777" w:rsidR="0010070D" w:rsidRDefault="0010070D" w:rsidP="0010070D">
            <w:pPr>
              <w:numPr>
                <w:ilvl w:val="0"/>
                <w:numId w:val="23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Sprzętowy kontroler dyskowy, posiadający możliwość konfiguracji poziomów RAID: 0, 1, 10</w:t>
            </w:r>
          </w:p>
        </w:tc>
      </w:tr>
      <w:tr w:rsidR="0010070D" w14:paraId="775222D4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C3A2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kern w:val="2"/>
              </w:rPr>
              <w:t>Dyski twarde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B799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Zainstalowane:</w:t>
            </w:r>
          </w:p>
          <w:p w14:paraId="5CD04DF5" w14:textId="77777777" w:rsidR="0010070D" w:rsidRDefault="0010070D" w:rsidP="0010070D">
            <w:pPr>
              <w:numPr>
                <w:ilvl w:val="1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1x dysk SATA o pojemności min. 2TB</w:t>
            </w:r>
          </w:p>
          <w:p w14:paraId="3E4BA6F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</w:p>
        </w:tc>
      </w:tr>
      <w:tr w:rsidR="0010070D" w14:paraId="59E2C252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F26F0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Sloty PCI Express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58BD8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Dwa sloty PCI Express</w:t>
            </w:r>
          </w:p>
        </w:tc>
      </w:tr>
      <w:tr w:rsidR="0010070D" w14:paraId="65BF95F3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B05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kern w:val="2"/>
              </w:rPr>
              <w:lastRenderedPageBreak/>
              <w:t>Interfejsy sieciowe/FC/SAS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9AD4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Minimum dwa interfejsy sieciowe 1Gb/s Ethernet nie zajmujące żadnego z dostępnych slotów PCI Express.</w:t>
            </w:r>
          </w:p>
        </w:tc>
      </w:tr>
      <w:tr w:rsidR="0010070D" w14:paraId="1BE74ACA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6A84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kern w:val="2"/>
              </w:rPr>
              <w:t>Wbudowane porty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AF842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Minimum 8 portów USB</w:t>
            </w:r>
          </w:p>
          <w:p w14:paraId="7322DF8E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1x VGA</w:t>
            </w:r>
          </w:p>
        </w:tc>
      </w:tr>
      <w:tr w:rsidR="0010070D" w14:paraId="1EE3EB70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F92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Video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4759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Zintegrowana karta graficzna, umożliwiająca wyświetlanie obrazu w rozdzielczości minimum 1280x1024 pikseli</w:t>
            </w:r>
          </w:p>
        </w:tc>
      </w:tr>
      <w:tr w:rsidR="0010070D" w14:paraId="6D85B8E0" w14:textId="77777777" w:rsidTr="00864954">
        <w:trPr>
          <w:trHeight w:val="452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BF3D1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  <w:lang w:val="en-US"/>
              </w:rPr>
            </w:pPr>
            <w:r>
              <w:rPr>
                <w:rFonts w:eastAsia="Calibri" w:cs="Calibri"/>
                <w:b/>
                <w:bCs/>
                <w:kern w:val="2"/>
                <w:lang w:val="en-US"/>
              </w:rPr>
              <w:t>Zasilacz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6162" w14:textId="77777777" w:rsidR="0010070D" w:rsidRDefault="0010070D" w:rsidP="0010070D">
            <w:pPr>
              <w:numPr>
                <w:ilvl w:val="0"/>
                <w:numId w:val="22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Maksymalnie 500W</w:t>
            </w:r>
          </w:p>
        </w:tc>
      </w:tr>
      <w:tr w:rsidR="0010070D" w14:paraId="2969CBCC" w14:textId="77777777" w:rsidTr="00864954">
        <w:trPr>
          <w:trHeight w:val="210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26622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t>Bezpieczeństwo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EA76" w14:textId="77777777" w:rsidR="0010070D" w:rsidRDefault="0010070D" w:rsidP="0010070D">
            <w:pPr>
              <w:numPr>
                <w:ilvl w:val="0"/>
                <w:numId w:val="24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wyłączenia w BIOS funkcji przycisku zasilania.</w:t>
            </w:r>
          </w:p>
          <w:p w14:paraId="03038EFB" w14:textId="77777777" w:rsidR="0010070D" w:rsidRDefault="0010070D" w:rsidP="0010070D">
            <w:pPr>
              <w:numPr>
                <w:ilvl w:val="0"/>
                <w:numId w:val="24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BIOS ma możliwość przejścia do bezpiecznego trybu rozruchowego z możliwością zarządzania blokadą zasilania, panelem sterowania oraz zmianą hasła</w:t>
            </w:r>
          </w:p>
          <w:p w14:paraId="3A90EC0E" w14:textId="77777777" w:rsidR="0010070D" w:rsidRDefault="0010070D" w:rsidP="0010070D">
            <w:pPr>
              <w:numPr>
                <w:ilvl w:val="0"/>
                <w:numId w:val="24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Wbudowany w serwer mechanizm pozwalający na weryfikację niezmienności konfiguracji sprzętowej serwera od momentu produkcji do dostawy do docelowej lokalizacji. Mechanizm ma również pozwalać na kontrolę otwarcia urządzenia w trakcie transportu, niezależnie od stanu zasilania.</w:t>
            </w:r>
          </w:p>
          <w:p w14:paraId="64BCA9C1" w14:textId="77777777" w:rsidR="0010070D" w:rsidRDefault="0010070D" w:rsidP="0010070D">
            <w:pPr>
              <w:numPr>
                <w:ilvl w:val="0"/>
                <w:numId w:val="24"/>
              </w:numPr>
              <w:suppressAutoHyphens/>
              <w:spacing w:before="0" w:after="160" w:line="276" w:lineRule="auto"/>
              <w:rPr>
                <w:rFonts w:eastAsia="Calibri" w:cs="Calibri"/>
                <w:bCs/>
              </w:rPr>
            </w:pPr>
            <w:r>
              <w:rPr>
                <w:rFonts w:eastAsia="Calibri" w:cs="Calibri"/>
                <w:kern w:val="2"/>
              </w:rPr>
              <w:t>Możliwość wymazania danych ze znajdujących się dysków wewnątrz serwera – niezależne od zainstalowanego systemu operacyjnego, uruchamiane z poziomu zarządzania serwerem.</w:t>
            </w:r>
          </w:p>
          <w:p w14:paraId="34C94BB2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  <w:bCs/>
              </w:rPr>
            </w:pPr>
            <w:r>
              <w:rPr>
                <w:rFonts w:eastAsia="Calibri" w:cs="Calibri"/>
                <w:bCs/>
                <w:kern w:val="2"/>
              </w:rPr>
              <w:t>Serwer musi być wyposażony w rozwiązanie zapewniające ochronę oprogramowania układowego przed manipulacją złośliwego oprogramowania. Ochrona taka musi być zgodna z zaleceniami NIST SP 800-147B i NIST SP 800-155. Jednocześnie Zamawiający wymaga, aby dostarczony serwer posiadał zaimplementowane sprzętowo mechanizmy kryptograficzne poświadczające integralność oprogramowania BIOS (Root of Trust).</w:t>
            </w:r>
          </w:p>
        </w:tc>
      </w:tr>
      <w:tr w:rsidR="0010070D" w14:paraId="6CC81971" w14:textId="77777777" w:rsidTr="00864954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2CAC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t>Karta Zarządzania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9AFB" w14:textId="77777777" w:rsidR="0010070D" w:rsidRDefault="0010070D" w:rsidP="0010070D">
            <w:pPr>
              <w:numPr>
                <w:ilvl w:val="0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Niezależna od zainstalowanego na serwerze systemu operacyjnego, karta zarządzająca, posiadająca dedykowany port Gigabit Ethernet RJ-45 i umożliwiająca:</w:t>
            </w:r>
          </w:p>
          <w:p w14:paraId="31E83027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kern w:val="2"/>
              </w:rPr>
              <w:lastRenderedPageBreak/>
              <w:t>zdalny dostęp do graficznego interfejsu Web karty zarządzającej;</w:t>
            </w:r>
          </w:p>
          <w:p w14:paraId="338C1F03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  <w:lang w:val="en-US"/>
              </w:rPr>
              <w:t>wsparcie dla WSMAN (Web Service for Management); SNMP; IPMI2.0, SSH, Redfish;</w:t>
            </w:r>
          </w:p>
          <w:p w14:paraId="218E8B36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bezpośredniego zarządzania poprzez dedykowany port USB na przednim panelu serwera oraz z możliwością rozszerzenia funkcjonalności o:</w:t>
            </w:r>
          </w:p>
          <w:p w14:paraId="747F5747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zdalne monitorowanie i informowanie o statusie serwera (m.in. prędkości obrotowej wentylatorów, konfiguracji serwera);</w:t>
            </w:r>
          </w:p>
          <w:p w14:paraId="544435A1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szyfrowane SSL</w:t>
            </w:r>
          </w:p>
          <w:p w14:paraId="57CA3E9F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wsparcie dla IPv6;</w:t>
            </w:r>
          </w:p>
          <w:p w14:paraId="04D15180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zdalnego monitorowania w czasie rzeczywistym poboru prądu przez serwer;</w:t>
            </w:r>
          </w:p>
          <w:p w14:paraId="6D305904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integracja z Active Directory;</w:t>
            </w:r>
          </w:p>
          <w:p w14:paraId="72D3CD29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Wsparcie dla automatycznej rejestracji DNS</w:t>
            </w:r>
          </w:p>
          <w:p w14:paraId="42728E83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wysyłanie do administratora maila z powiadomieniem o awarii lub zmianie konfiguracji sprzętowej.</w:t>
            </w:r>
          </w:p>
          <w:p w14:paraId="3FD211BB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zarządzania do 100 serwerów bezpośrednio z konsoli karty zarządzającej pojedynczego serwera</w:t>
            </w:r>
          </w:p>
          <w:p w14:paraId="78FEFA1D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obsługi przez sześciu użytkowników jednocześnie;</w:t>
            </w:r>
          </w:p>
          <w:p w14:paraId="68CE19CD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podmontowania zdalnych wirtualnych napędów;</w:t>
            </w:r>
          </w:p>
          <w:p w14:paraId="45C0C3A2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wirtualną konsolę z dostępem do myszy, klawiatury;</w:t>
            </w:r>
          </w:p>
          <w:p w14:paraId="0F1E08DA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zdalnego ustawienia limitu poboru prądu przez konkretny serwer;</w:t>
            </w:r>
          </w:p>
          <w:p w14:paraId="0E46555C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Wirtualny schowek ułatwiający korzystanie z konsoli zdalnej</w:t>
            </w:r>
          </w:p>
          <w:p w14:paraId="3B456CCF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Przesyłanie danych telemetrycznych w czasie rzeczywistym</w:t>
            </w:r>
          </w:p>
          <w:p w14:paraId="716C187D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Dostosowanie zarządzania temperaturą i przepływem powietrza w serwerze</w:t>
            </w:r>
          </w:p>
          <w:p w14:paraId="5AF464B3" w14:textId="77777777" w:rsidR="0010070D" w:rsidRDefault="0010070D" w:rsidP="0010070D">
            <w:pPr>
              <w:numPr>
                <w:ilvl w:val="1"/>
                <w:numId w:val="26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Automatyczna rejestracja certyfikatów (ACE)</w:t>
            </w:r>
          </w:p>
        </w:tc>
      </w:tr>
      <w:tr w:rsidR="0010070D" w14:paraId="070AA016" w14:textId="77777777" w:rsidTr="00864954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EBE7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lastRenderedPageBreak/>
              <w:t>Oprogramowanie do zarządzania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ACD78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zainstalowania oprogramowania producenta do zarządzania, spełniającego poniższe wymagania:</w:t>
            </w:r>
          </w:p>
          <w:p w14:paraId="0F89323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Wsparcie dla serwerów, urządzeń sieciowych oraz pamięci masowych</w:t>
            </w:r>
          </w:p>
          <w:p w14:paraId="1D571AC1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integracja z Active Directory</w:t>
            </w:r>
          </w:p>
          <w:p w14:paraId="31AA243F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zarządzania dostarczonymi serwerami bez udziału dedykowanego agenta</w:t>
            </w:r>
          </w:p>
          <w:p w14:paraId="673D5F53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Wsparcie dla protokołów SNMP, IPMI, Linux SSH, Redfish</w:t>
            </w:r>
          </w:p>
          <w:p w14:paraId="387ED635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uruchamiania procesu wykrywania urządzeń w oparciu o harmonogram</w:t>
            </w:r>
          </w:p>
          <w:p w14:paraId="74EC8E09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Szczegółowy opis wykrytych systemów oraz ich komponentów</w:t>
            </w:r>
          </w:p>
          <w:p w14:paraId="3211E6DB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eksportu raportu do CSV, HTML, XLS, PDF</w:t>
            </w:r>
          </w:p>
          <w:p w14:paraId="73D2358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tworzenia własnych raportów w oparciu o wszystkie informacje zawarte w inwentarzu.</w:t>
            </w:r>
          </w:p>
          <w:p w14:paraId="625B5673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Grupowanie urządzeń w oparciu o kryteria użytkownika</w:t>
            </w:r>
          </w:p>
          <w:p w14:paraId="651069CB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Tworzenie automatycznie grup urządzeń w oparciu o dowolny element konfiguracji serwera np. Nazwa, lokalizacja, system operacyjny, obsadzenie slotów PCIe, pozostałego czasu gwarancji</w:t>
            </w:r>
          </w:p>
          <w:p w14:paraId="41B77FCA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uruchamiania narzędzi zarządzających w poszczególnych urządzeniach</w:t>
            </w:r>
          </w:p>
          <w:p w14:paraId="37AE4991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Szybki podgląd stanu środowiska</w:t>
            </w:r>
          </w:p>
          <w:p w14:paraId="344909B5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Podsumowanie stanu dla każdego urządzenia</w:t>
            </w:r>
          </w:p>
          <w:p w14:paraId="710629E9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Szczegółowy status urządzenia/elementu/komponentu</w:t>
            </w:r>
          </w:p>
          <w:p w14:paraId="1482C296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Generowanie alertów przy zmianie stanu urządzenia.</w:t>
            </w:r>
          </w:p>
          <w:p w14:paraId="776FC08B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Filtry raportów umożliwiające podgląd najważniejszych zdarzeń</w:t>
            </w:r>
          </w:p>
          <w:p w14:paraId="153A7C5A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Integracja z service desk producenta dostarczonej platformy sprzętowej</w:t>
            </w:r>
          </w:p>
          <w:p w14:paraId="7FC132E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przejęcia zdalnego pulpitu</w:t>
            </w:r>
          </w:p>
          <w:p w14:paraId="31C9C5B2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podmontowania wirtualnego napędu</w:t>
            </w:r>
          </w:p>
          <w:p w14:paraId="24B1FD21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Kreator umożliwiający dostosowanie akcji dla wybranych alertów</w:t>
            </w:r>
          </w:p>
          <w:p w14:paraId="5B48AF0E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importu plików MIB</w:t>
            </w:r>
          </w:p>
          <w:p w14:paraId="0E70A4A6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Przesyłanie alertów „as-is” do innych konsol firm trzecich</w:t>
            </w:r>
          </w:p>
          <w:p w14:paraId="126931C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definiowania ról administratorów</w:t>
            </w:r>
          </w:p>
          <w:p w14:paraId="68A6442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zdalnej aktualizacji oprogramowania wewnętrznego serwerów</w:t>
            </w:r>
          </w:p>
          <w:p w14:paraId="4D90745D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Aktualizacja oparta o wybranie źródła bibliotek (lokalna, on-line producenta oferowanego rozwiązania)</w:t>
            </w:r>
          </w:p>
          <w:p w14:paraId="39CCED7A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instalacji oprogramowania wewnętrznego bez potrzeby instalacji agenta</w:t>
            </w:r>
          </w:p>
          <w:p w14:paraId="05BF250F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automatycznego generowania i zgłaszania incydentów awarii bezpośrednio do centrum serwisowego producenta serwerów</w:t>
            </w:r>
          </w:p>
          <w:p w14:paraId="10FD6BB8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Moduł raportujący pozwalający na wygenerowanie następujących informacji: nr seryjne sprzętu, konfiguracja poszczególnych urządzeń, wersje oprogramowania wewnętrznego, obsadzenie slotów PCI i gniazd pamięci, informację o maszynach wirtualnych, aktualne informacje o stanie i poziomie gwarancji, adresy IP kart sieciowych, występujących alertów, MAC adresów kart sieciowych, stanie poszczególnych komponentów serwera.</w:t>
            </w:r>
          </w:p>
          <w:p w14:paraId="651A3F51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tworzenia sprzętowej konfiguracji bazowej i na jej podstawie weryfikacji środowiska w celu wykrycia rozbieżności.</w:t>
            </w:r>
          </w:p>
          <w:p w14:paraId="3AFBFF96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Wdrażanie serwerów, rozwiązań modularnych oraz przełączników sieciowych w oparciu o profile</w:t>
            </w:r>
          </w:p>
          <w:p w14:paraId="7088EC5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migracji ustawień serwera wraz z wirtualnymi adresami sieciowymi (MAC, WWN, IQN) między urządzeniami.</w:t>
            </w:r>
          </w:p>
          <w:p w14:paraId="4FDEBC90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Tworzenie gotowych paczek informacji umożliwiających zdiagnozowanie awarii urządzenia przez serwis producenta.</w:t>
            </w:r>
          </w:p>
          <w:p w14:paraId="2EF4B1C3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Zdalne uruchamianie diagnostyki serwera.</w:t>
            </w:r>
          </w:p>
          <w:p w14:paraId="7C544A52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Dedykowana aplikacja na urządzenia mobilne integrująca się z wyżej opisanymi oprogramowaniem zarządzającym.</w:t>
            </w:r>
          </w:p>
          <w:p w14:paraId="48B42CBE" w14:textId="77777777" w:rsidR="0010070D" w:rsidRDefault="0010070D" w:rsidP="0010070D">
            <w:pPr>
              <w:numPr>
                <w:ilvl w:val="1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Oprogramowanie dostarczane jako wirtualny appliance dla KVM, ESXi i Hyper-V.</w:t>
            </w:r>
          </w:p>
          <w:p w14:paraId="43253FBA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</w:p>
        </w:tc>
      </w:tr>
      <w:tr w:rsidR="0010070D" w14:paraId="16A9C1E7" w14:textId="77777777" w:rsidTr="00864954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137B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lastRenderedPageBreak/>
              <w:t>Oprogramowanie do monitorowania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424F6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Oparta na chmurze aplikacja Producenta oferowanego urządzenia, która zapewnia proaktywne monitorowanie i rozwiązywanie problemów infrastruktury IT oraz integrację z posiadaną platformą wirtualizacji VMware. Zaproponowane rozwiązanie musi posiadać następujące funkcjonalności:</w:t>
            </w:r>
          </w:p>
          <w:p w14:paraId="3BBAAB96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Monitoring:</w:t>
            </w:r>
          </w:p>
          <w:p w14:paraId="0355788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ilość podłączonych oraz rozłączonych systemów</w:t>
            </w:r>
          </w:p>
          <w:p w14:paraId="00FCACA2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stan podłączonych urządzeń</w:t>
            </w:r>
          </w:p>
          <w:p w14:paraId="7877661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o potencjalnych zagrożeniach związanych z cyberbezpieczeństwem w oparciu o najlepsze praktyki i szczegółową analizę posiadanych systemów</w:t>
            </w:r>
          </w:p>
          <w:p w14:paraId="1793824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o alertach z podziałem na minimum: krytyczne, błędy, ostrzeżenia</w:t>
            </w:r>
          </w:p>
          <w:p w14:paraId="10F8C22C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o statusie gwarancji dla poszczególnych urządzeń</w:t>
            </w:r>
          </w:p>
          <w:p w14:paraId="323DBB32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o stanie licencji na posiadane oprogramowanie rozszerzające funkcjonalności urządzeń</w:t>
            </w:r>
          </w:p>
          <w:p w14:paraId="05434343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w oparciu o dane historyczne umożliwiające określenie trendów krótko- i długoterminowej prognozy wykorzystania przestrzeni na pamięciach masowych.</w:t>
            </w:r>
          </w:p>
          <w:p w14:paraId="0078098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Wykrywanie anomalii w oparciu o analizę zajętości przestrzeni na pamięciach masowych</w:t>
            </w:r>
          </w:p>
          <w:p w14:paraId="18115B2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Wykrywanie anomalii wydajnościowych w oparciu o uczenie maszynowe oraz porównanie parametrów historycznych i bieżących. Funkcjonalność ta musi wspierać serwery, urządzenia sieciowe oraz systemy pamięci masowych.</w:t>
            </w:r>
          </w:p>
          <w:p w14:paraId="6CE1BC7B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Monitorowanie wydajności, przepustowości oraz opóźnień dla systemy pamięci masowych.</w:t>
            </w:r>
          </w:p>
          <w:p w14:paraId="2B08A89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 xml:space="preserve">Zaimplementowana analityka predykcyjna umożliwiająca określenie </w:t>
            </w:r>
            <w:r>
              <w:rPr>
                <w:rFonts w:eastAsia="Calibri" w:cs="Calibri"/>
                <w:kern w:val="2"/>
              </w:rPr>
              <w:lastRenderedPageBreak/>
              <w:t>szacowanego czasu awarii dla optyki przełączników FC.</w:t>
            </w:r>
          </w:p>
          <w:p w14:paraId="063797E0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Szczegółowe informacje dla serwerów o modelu, konfiguracji, wersjach firmware poszczególnych komponentów adresacji IP karty zarządzającej.</w:t>
            </w:r>
          </w:p>
          <w:p w14:paraId="1DCA0DA5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Monitoring parametrów serwerów z informacją o minimum:</w:t>
            </w:r>
          </w:p>
          <w:p w14:paraId="6B7A3F4A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Obciążeniu procesora</w:t>
            </w:r>
          </w:p>
          <w:p w14:paraId="4BDAFD9B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Zużyciu pamięci RAM</w:t>
            </w:r>
          </w:p>
          <w:p w14:paraId="2B4009BD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Temperaturze procesorów</w:t>
            </w:r>
          </w:p>
          <w:p w14:paraId="52C256C0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Temperaturze powietrza wlotowego</w:t>
            </w:r>
          </w:p>
          <w:p w14:paraId="0486DB58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Zużyciu prądu</w:t>
            </w:r>
          </w:p>
          <w:p w14:paraId="44997F68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Zmianach w fizycznej konfiguracji serwera</w:t>
            </w:r>
          </w:p>
          <w:p w14:paraId="4FB99AB6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Dla wszystkich wymienionych parametrów muszą być dostępne dane historyczne oraz automatycznie generowana informacja o anomaliach.</w:t>
            </w:r>
          </w:p>
          <w:p w14:paraId="1E712178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Monitoring parametrów pamięci masowych z informacją o minimum:</w:t>
            </w:r>
          </w:p>
          <w:p w14:paraId="751DBAE7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Opóźnieniach</w:t>
            </w:r>
          </w:p>
          <w:p w14:paraId="1098269C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IOPS</w:t>
            </w:r>
          </w:p>
          <w:p w14:paraId="380DD75C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Przepustowości</w:t>
            </w:r>
          </w:p>
          <w:p w14:paraId="060BB01A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Utylizacji kontrolerów</w:t>
            </w:r>
          </w:p>
          <w:p w14:paraId="096F9A75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Pojemność całkowita i dostępna</w:t>
            </w:r>
          </w:p>
          <w:p w14:paraId="19853926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Wszystkie informacje muszą być dostępne zarówno dla całej pamięci masowej jak i poszczególnych LUN-ów.</w:t>
            </w:r>
          </w:p>
          <w:p w14:paraId="26EE1496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Dla wszystkich wymienionych powyżej parametrów muszą być dostępne dane historyczne oraz automatycznie generowana informacja o anomaliach.</w:t>
            </w:r>
          </w:p>
          <w:p w14:paraId="169897A9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Dane historyczne o wykorzystaniu przestrzeni pamięci masowej muszą być przechowywane co najmniej 2 lata</w:t>
            </w:r>
          </w:p>
          <w:p w14:paraId="76FEE7B6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Informacje o poziomie redukcji danych</w:t>
            </w:r>
          </w:p>
          <w:p w14:paraId="2C0C2F99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Informacje o statusie replikacji oraz snapshotów</w:t>
            </w:r>
          </w:p>
          <w:p w14:paraId="6A8ACB6F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Monitoring parametrów przełączników sieciowych z informacją o minimum:</w:t>
            </w:r>
          </w:p>
          <w:p w14:paraId="69AB4CC5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Modelu, oprogramowania, adresacji IP, MAC adres, nr seryjny</w:t>
            </w:r>
          </w:p>
          <w:p w14:paraId="6BAD0D89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Stanie komponentów: zasilacze, wentylatory</w:t>
            </w:r>
          </w:p>
          <w:p w14:paraId="68ED3727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Podłączonych hostach</w:t>
            </w:r>
          </w:p>
          <w:p w14:paraId="6F69D311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Ilości i statusu portów</w:t>
            </w:r>
          </w:p>
          <w:p w14:paraId="49D335B3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Utylizacji procesora</w:t>
            </w:r>
          </w:p>
          <w:p w14:paraId="46BFFE0D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Utylizacji poszczególnych portów</w:t>
            </w:r>
          </w:p>
          <w:p w14:paraId="4E821363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kern w:val="2"/>
              </w:rPr>
              <w:t>Dla wszystkich wymienionych powyżej parametrów muszą być dostępne dane historyczne oraz automatycznie generowana informacja o anomaliach.</w:t>
            </w:r>
          </w:p>
          <w:p w14:paraId="6F2E8E8F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  <w:lang w:val="en-US"/>
              </w:rPr>
              <w:t>Aktualizacja firmware</w:t>
            </w:r>
          </w:p>
          <w:p w14:paraId="681FFCBB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aktualizcji firmware, oprogramowania zarządzającego dla systemów pamięci masowych, wraz z informacją o zalecanych wersjach oprogramowania</w:t>
            </w:r>
          </w:p>
          <w:p w14:paraId="2E2F8AA5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aktualizcji firmware, oprogramowania zarządzającego dla serwerów, wraz z informacją o zalecanych wersjach oprogramowania</w:t>
            </w:r>
          </w:p>
          <w:p w14:paraId="70E6A75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aktualizcji firmware, oprogramowania zarządzającego dla rozwiazań HCI, wraz z informacją o zalecanych wersjach oprogramowania</w:t>
            </w:r>
          </w:p>
          <w:p w14:paraId="5BADC449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aktualizcji firmware, dla systemów przełączników FC, wraz z informacją o zalecanych wersjach oprogramowania</w:t>
            </w:r>
          </w:p>
          <w:p w14:paraId="34501A15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  <w:lang w:val="en-US"/>
              </w:rPr>
            </w:pPr>
            <w:r>
              <w:rPr>
                <w:rFonts w:eastAsia="Calibri" w:cs="Calibri"/>
                <w:kern w:val="2"/>
              </w:rPr>
              <w:t>możliwość aktualizcji firmware, dla deduplikatorów, wraz z informacją o zalecanych wersjach oprogramowania</w:t>
            </w:r>
          </w:p>
          <w:p w14:paraId="0005713F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  <w:lang w:val="en-US"/>
              </w:rPr>
              <w:t>Raporty</w:t>
            </w:r>
          </w:p>
          <w:p w14:paraId="6BD63AA7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generowania raportów dla serwerów zawierających informację o:</w:t>
            </w:r>
          </w:p>
          <w:p w14:paraId="1494FE6D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Nazwie hosta, modelu serwera, nr serwisowym, dacie końca okresu kontraktu serwisowego, zainstalowanym systemie operacyjnym, protokole komunikacyjnym z systemem pamięci masowej</w:t>
            </w:r>
          </w:p>
          <w:p w14:paraId="32F15046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Średnim obciążeniu: procesorów, pamięci RAM, IO,</w:t>
            </w:r>
          </w:p>
          <w:p w14:paraId="6EA15B81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generowania raportów dla systemów pamięci masowych zawierających informację o:</w:t>
            </w:r>
          </w:p>
          <w:p w14:paraId="3F40480B" w14:textId="77777777" w:rsidR="0010070D" w:rsidRDefault="0010070D" w:rsidP="0010070D">
            <w:pPr>
              <w:numPr>
                <w:ilvl w:val="2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Nazwie, nr seryjnym, lokalizacji urządzenia, modelu urządzenia, wersji oprogramowania, zajętości systemu oraz poziomu redukcją danych, informacje o utworzonych LUN-ach i systemach pliku, status replikacji</w:t>
            </w:r>
          </w:p>
          <w:p w14:paraId="2018A24B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Generowanie raportów do plików CSV i PDF</w:t>
            </w:r>
          </w:p>
          <w:p w14:paraId="6C16D7FB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Cyberbezpieczeństwo</w:t>
            </w:r>
          </w:p>
          <w:p w14:paraId="4368B5FD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Analiza środowiska w oparciu o najlepsze praktyki dotyczące cyberbezpieczeństwa sprawdzająca stan poszczególnych urządzeń w środowisku i przypisujący im odpowiedni wynik bezpieczeństwa. System musi informować administratora o wykrytych lukach bezpieczeństwa oraz sposobie ich zabezpieczenia.</w:t>
            </w:r>
          </w:p>
          <w:p w14:paraId="231A83DA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Musi istnieć możliwość tworzenia własnych polityk bezpieczeństwa w oparciu o wzorce dla poszczególnych urządzeń.</w:t>
            </w:r>
          </w:p>
          <w:p w14:paraId="4B410CF9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Stała analiza środowiska IT umożliwiająca wykrycie ataku ransomware na podstawie analizy posiadanych danych.</w:t>
            </w:r>
          </w:p>
          <w:p w14:paraId="199B90F0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przypisania dedykowanych ról dla poszczególnych administratorów.</w:t>
            </w:r>
          </w:p>
          <w:p w14:paraId="001410EC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Wspierane urządzenia</w:t>
            </w:r>
          </w:p>
          <w:p w14:paraId="1CD9D706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Urządzenie Producenta dostarczane w ramach postępowania</w:t>
            </w:r>
          </w:p>
          <w:p w14:paraId="6C1AB7E0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Posiadane przez Zamawiającego serwery, urządzenia pamięci masowych, przełączniki sieciowe, przełączniki SAN, rozwiązania HCI, deduplikatory Producenta oferowanego urządzenia (jeśli takie są w posiadaniu Zamawiającego)</w:t>
            </w:r>
          </w:p>
          <w:p w14:paraId="580D0AC7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Wirtualny asystent</w:t>
            </w:r>
          </w:p>
          <w:p w14:paraId="07635E9F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 xml:space="preserve">Wbudowana w platformę funkcjonalność wirtualnego asystenta w </w:t>
            </w:r>
            <w:r>
              <w:rPr>
                <w:rFonts w:eastAsia="Calibri" w:cs="Calibri"/>
                <w:kern w:val="2"/>
              </w:rPr>
              <w:lastRenderedPageBreak/>
              <w:t>oparciu o algorytmy GenAI przy dostępie do bazy wiedzy producenta urządzeń oraz analizie danych z monitoringu poszczególnych elementów infrastruktury;</w:t>
            </w:r>
          </w:p>
          <w:p w14:paraId="0A31A393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rozszerzenia funkcjonalności</w:t>
            </w:r>
          </w:p>
          <w:p w14:paraId="2D5CFF84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Możliwość rozbudowy systemu o zintegrowane i dodatkowe płatne moduły do monitoringu aplikacji oraz zarządzania incydentami w ramach infrastruktury IT.</w:t>
            </w:r>
          </w:p>
          <w:p w14:paraId="63C33EDF" w14:textId="77777777" w:rsidR="0010070D" w:rsidRDefault="0010070D" w:rsidP="0010070D">
            <w:pPr>
              <w:numPr>
                <w:ilvl w:val="0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Inne</w:t>
            </w:r>
          </w:p>
          <w:p w14:paraId="544FDBA2" w14:textId="77777777" w:rsidR="0010070D" w:rsidRDefault="0010070D" w:rsidP="0010070D">
            <w:pPr>
              <w:numPr>
                <w:ilvl w:val="1"/>
                <w:numId w:val="27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Oferowana platforma musi posiadać dedykowaną aplikację na urządzenia iOS oraz Android</w:t>
            </w:r>
          </w:p>
        </w:tc>
      </w:tr>
      <w:tr w:rsidR="0010070D" w14:paraId="68CC6610" w14:textId="77777777" w:rsidTr="00864954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06B8D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  <w:kern w:val="2"/>
              </w:rPr>
              <w:lastRenderedPageBreak/>
              <w:t>Certyfikaty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AAF48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Serwer musi być wyprodukowany zgodnie z normą ISO-9001:2008 oraz ISO-14001.</w:t>
            </w:r>
          </w:p>
          <w:p w14:paraId="15131355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Serwer musi posiadać deklaracja CE.</w:t>
            </w:r>
          </w:p>
          <w:p w14:paraId="17D963DF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 xml:space="preserve">Oferowane produkty muszą zawierać informacje dotyczące ponownego użycia i recyklingu, nie mogą zawierać farb i powłok na dużych plastikowych częściach, których nie da się poddać recyklingowi lub ponownie użyć. Wszystkie produkty zawierające podzespoły elektroniczne oraz niebezpieczne składniki powinny być bezpiecznie i łatwo identyfikowalne oraz usuwalne. Usunięcie materiałów i komponentów powinno odbywać się zgodnie z wymogami Dyrektywy WEEE 2002/96/EC. Produkty muszą składać się z co najmniej w 65% ze składników wielokrotnego użytku/zdatnych do recyklingu. We wszystkich produktach części tworzyw sztucznych większe niż 25-gramowe powinny zawierać nie więcej niż śladowe ilości środków zmniejszających palność sklasyfikowanych w dyrektywie RE 67/548/EEC. Potwierdzeniem spełnienia powyższego wymogu jest wydruk ze strony internetowej </w:t>
            </w:r>
            <w:hyperlink r:id="rId12">
              <w:r>
                <w:rPr>
                  <w:rStyle w:val="Hipercze"/>
                  <w:rFonts w:eastAsia="Calibri" w:cs="Calibri"/>
                  <w:kern w:val="2"/>
                </w:rPr>
                <w:t>www.epeat.net</w:t>
              </w:r>
            </w:hyperlink>
            <w:r>
              <w:rPr>
                <w:rFonts w:eastAsia="Calibri" w:cs="Calibri"/>
                <w:kern w:val="2"/>
              </w:rPr>
              <w:t xml:space="preserve"> potwierdzający spełnienie normy co najmniej Epeat Silver według normy wprowadzonej w 2019 roku - </w:t>
            </w:r>
            <w:r>
              <w:rPr>
                <w:rFonts w:eastAsia="Calibri" w:cs="Calibri"/>
                <w:b/>
                <w:bCs/>
                <w:kern w:val="2"/>
              </w:rPr>
              <w:t>Wykonawca złoży dokument potwierdzający spełnianie wymogu.</w:t>
            </w:r>
          </w:p>
          <w:p w14:paraId="09D91A23" w14:textId="77777777" w:rsidR="0010070D" w:rsidRDefault="0010070D" w:rsidP="0010070D">
            <w:pPr>
              <w:numPr>
                <w:ilvl w:val="0"/>
                <w:numId w:val="25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Oferowany serwer musi znajdować się na liście Windows Server Catalog i posiadać status „Certified for Windows” dla systemów Microsoft Windows Server 2019, Microsoft Windows Server 2022.</w:t>
            </w:r>
          </w:p>
        </w:tc>
      </w:tr>
      <w:tr w:rsidR="0010070D" w14:paraId="30EE1A02" w14:textId="77777777" w:rsidTr="00864954">
        <w:trPr>
          <w:trHeight w:val="4379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5A3E" w14:textId="77777777" w:rsidR="0010070D" w:rsidRDefault="0010070D" w:rsidP="00864954">
            <w:pPr>
              <w:spacing w:after="160" w:line="276" w:lineRule="auto"/>
              <w:rPr>
                <w:rFonts w:eastAsia="Calibri" w:cs="Calibri"/>
                <w:b/>
              </w:rPr>
            </w:pPr>
            <w:r>
              <w:rPr>
                <w:rFonts w:eastAsia="Calibri" w:cs="Calibri"/>
                <w:b/>
                <w:kern w:val="2"/>
              </w:rPr>
              <w:lastRenderedPageBreak/>
              <w:t>Warunki gwarancji</w:t>
            </w:r>
          </w:p>
        </w:tc>
        <w:tc>
          <w:tcPr>
            <w:tcW w:w="8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BB9C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wymaga zapewnienia gwarancji Producenta z zakresu wdrażanej technologii na okres 3 lat.</w:t>
            </w:r>
          </w:p>
          <w:p w14:paraId="43484DA0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oczekuje możliwości zgłaszania zdarzeń serwisowych w trybie 24/7/365 następującymi kanałami: telefonicznie i przez Internet.</w:t>
            </w:r>
          </w:p>
          <w:p w14:paraId="47D6DA00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oczekuje bezpośredniego dostępu do wykwalifikowanej kadry inżynierów technicznych a w przypadku konieczności eskalacji zgłoszenia serwisowego wyznaczonego Kierownika Eskalacji po stronie Producenta (dla krytycznych zgłoszeń serwisowych)</w:t>
            </w:r>
          </w:p>
          <w:p w14:paraId="18761AE7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wymaga pojedynczego punktu kontaktu dla całego rozwiązania Producenta, w tym także sprzedanego oprogramowania.</w:t>
            </w:r>
          </w:p>
          <w:p w14:paraId="05F2CEC9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Zgłoszenie przyjęte jest potwierdzane przez zespół pomocy technicznej (mail/telefon / portal) przez nadanie unikalnego numeru zgłoszenia pozwalającego na identyfikację zgłoszenia w trakcie realizacji naprawy i po jej zakończeniu.</w:t>
            </w:r>
          </w:p>
          <w:p w14:paraId="4EF3B7B5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oczekuje możliwości samodzielnego kwalifikowania poziomu ważności naprawy.</w:t>
            </w:r>
          </w:p>
          <w:p w14:paraId="76DB678D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oczekuje rozpoczęcia diagnostyki telefonicznej / internetowej już w momencie dokonania zgłoszenia. Certyfikowany Technik Producenta z właściwym zestawem części do naprawy (potwierdzonym na etapie diagnostyki) powinien rozpocząć naprawę w siedzibie zamawiającego najpóźniej w następnym dniu roboczym (NBD) od otrzymania zgłoszenia / zakończenia diagnostyki. Naprawa ma się odbyć w siedzibie zamawiającego, chyba, że zamawiający dla danej naprawy zgodzi się na inną formę.</w:t>
            </w:r>
          </w:p>
          <w:p w14:paraId="5A209364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oczekuje nieodpłatnego udostępnienia narzędzi serwisowych i procesów wsparcia umożliwiających: Wykrywanie usterek sprzętowych z predykcją awarii, automatyczną diagnostykę i zdalne otwieranie zgłoszeń serwisowych, wskazówki dotyczące bezpieczeństwa produktów, samodzielne wysyłanie części, a także ocena bezpieczeństwa cybernetycznego.</w:t>
            </w:r>
          </w:p>
          <w:p w14:paraId="2EC3573E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Zamawiający wymaga od podmiotu realizującego serwis lub producenta sprzętu dołączenia do oferty oświadczenia, że w przypadku wystąpienia awarii dysku twardego w urządzeniu objętym aktywnym wparciem technicznym, uszkodzony dysk twardy pozostaje u Zamawiającego.</w:t>
            </w:r>
          </w:p>
          <w:p w14:paraId="16F6BF4A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lastRenderedPageBreak/>
              <w:t>Możliwość rozszerzenia gwarancji Producenta o usługę diagnostyki sprzętu na miejscu w przypadku awarii. Charakterystyka usługi diagnostyki:</w:t>
            </w:r>
          </w:p>
          <w:p w14:paraId="13154497" w14:textId="77777777" w:rsidR="0010070D" w:rsidRDefault="0010070D" w:rsidP="0010070D">
            <w:pPr>
              <w:numPr>
                <w:ilvl w:val="1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Możliwości utworzenia zgłaszania serwisowego w wyniku, którego proces diagnostyki odbędzie się na miejscu w siedzibie zamawiającego.</w:t>
            </w:r>
          </w:p>
          <w:p w14:paraId="31F50C01" w14:textId="77777777" w:rsidR="0010070D" w:rsidRDefault="0010070D" w:rsidP="0010070D">
            <w:pPr>
              <w:numPr>
                <w:ilvl w:val="1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Po przyjeździe do siedziby Zamawiającego, pracownik serwisu przystąpi do rozwiązywania problemu. Jeśli do rozwiązania problemu będzie konieczna dodatkowa pomoc diagnostyczna lub części, pracownik serwisu może w imieniu Zamawiającego skontaktować się z producentem w celu uzyskania pomocy.</w:t>
            </w:r>
          </w:p>
          <w:p w14:paraId="20DA5037" w14:textId="77777777" w:rsidR="0010070D" w:rsidRDefault="0010070D" w:rsidP="0010070D">
            <w:pPr>
              <w:numPr>
                <w:ilvl w:val="1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Reakcja na miejscu u Zamawiającego powinna nastąpić w okresie zgodnym z czasem reakcji przypisanym do urządzenia, które posiada wykupioną usługę serwisową.</w:t>
            </w:r>
          </w:p>
          <w:p w14:paraId="72441D40" w14:textId="77777777" w:rsidR="0010070D" w:rsidRDefault="0010070D" w:rsidP="0010070D">
            <w:pPr>
              <w:numPr>
                <w:ilvl w:val="1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Pracownik serwisu powinien skontaktować się z Zamawiającym przed przyjazdem na miejsce w celu sprawdzenia zgłoszenia, ustalenia harmonogramu i potwierdzenia wszelkich informacji niezbędnych do realizacji wizyty technika na miejscu.</w:t>
            </w:r>
          </w:p>
          <w:p w14:paraId="3A232732" w14:textId="77777777" w:rsidR="0010070D" w:rsidRDefault="0010070D" w:rsidP="0010070D">
            <w:pPr>
              <w:numPr>
                <w:ilvl w:val="1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Jeśli w trakcie wstępnego procesu rozwiązywania problemu na miejscu awarii zostanie ustalone, że do realizacji usługi jest niezbędna jakaś część, znajdujący się na miejscu pracownik serwisu zamówi nową część i przekaże dodatkowe zgłoszenie do działu obsługi technicznej. Technik pracujący na miejscu powróci do siedziby Klienta w celu wymiany wysłanej części w ciągu czasu reakcji ustalonego zgodnie z umową serwisową zakupionego produktu.</w:t>
            </w:r>
          </w:p>
          <w:p w14:paraId="71A3883F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Wymagane dołączenie do oferty oświadczenia Producenta potwierdzające, że Serwis urządzeń będzie realizowany bezpośrednio przez Producenta i/lub we współpracy z Autoryzowanym Partnerem Serwisowym Producenta.</w:t>
            </w:r>
          </w:p>
          <w:p w14:paraId="29AEC5FC" w14:textId="77777777" w:rsidR="0010070D" w:rsidRDefault="0010070D" w:rsidP="0010070D">
            <w:pPr>
              <w:numPr>
                <w:ilvl w:val="0"/>
                <w:numId w:val="28"/>
              </w:numPr>
              <w:suppressAutoHyphens/>
              <w:spacing w:before="0" w:after="160" w:line="276" w:lineRule="auto"/>
              <w:rPr>
                <w:rFonts w:eastAsia="Calibri" w:cs="Calibri"/>
              </w:rPr>
            </w:pPr>
            <w:r>
              <w:rPr>
                <w:rFonts w:eastAsia="Calibri" w:cs="Calibri"/>
                <w:kern w:val="2"/>
              </w:rPr>
              <w:t>Firma serwisująca musi posiadać ISO 9001:2015 oraz ISO-27001 na świadczenie usług serwisowych oraz posiadać autoryzacje producenta urządzeń – dokumenty potwierdzające należy załączyć do oferty.</w:t>
            </w:r>
          </w:p>
        </w:tc>
      </w:tr>
    </w:tbl>
    <w:p w14:paraId="3D954462" w14:textId="77777777" w:rsidR="0010070D" w:rsidRDefault="0010070D" w:rsidP="0010070D">
      <w:pPr>
        <w:spacing w:after="160" w:line="276" w:lineRule="auto"/>
        <w:rPr>
          <w:rFonts w:eastAsia="Calibri"/>
        </w:rPr>
      </w:pPr>
    </w:p>
    <w:p w14:paraId="226D2E28" w14:textId="6175D50C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 w:rsidRPr="0010070D">
        <w:rPr>
          <w:rFonts w:ascii="Arial" w:eastAsia="Calibri" w:hAnsi="Arial" w:cs="Arial"/>
          <w:b/>
          <w:bCs/>
          <w:kern w:val="2"/>
          <w:sz w:val="20"/>
          <w:szCs w:val="20"/>
        </w:rPr>
        <w:lastRenderedPageBreak/>
        <w:t xml:space="preserve">Poz. nr </w:t>
      </w:r>
      <w:r>
        <w:rPr>
          <w:rFonts w:ascii="Arial" w:eastAsia="Calibri" w:hAnsi="Arial" w:cs="Arial"/>
          <w:b/>
          <w:bCs/>
          <w:kern w:val="2"/>
          <w:sz w:val="20"/>
          <w:szCs w:val="20"/>
        </w:rPr>
        <w:t>3</w:t>
      </w:r>
      <w:r w:rsidRPr="0010070D">
        <w:rPr>
          <w:rFonts w:ascii="Arial" w:eastAsia="Calibri" w:hAnsi="Arial" w:cs="Arial"/>
          <w:b/>
          <w:bCs/>
          <w:kern w:val="2"/>
          <w:sz w:val="20"/>
          <w:szCs w:val="20"/>
        </w:rPr>
        <w:t xml:space="preserve"> - </w:t>
      </w:r>
      <w:r>
        <w:rPr>
          <w:rFonts w:ascii="Arial" w:eastAsia="Calibri" w:hAnsi="Arial" w:cs="Arial"/>
          <w:b/>
          <w:bCs/>
          <w:kern w:val="2"/>
          <w:sz w:val="20"/>
          <w:szCs w:val="20"/>
        </w:rPr>
        <w:t>Dostawa UTM z licencją i serwisem na 1 rok – 1 szt.</w:t>
      </w:r>
    </w:p>
    <w:p w14:paraId="5190841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Wymagania Ogólne</w:t>
      </w:r>
    </w:p>
    <w:p w14:paraId="3028D5E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 xml:space="preserve">System bezpieczeństwa realizuje wszystkie wymienione poniżej funkcje sieciowe i bezpieczeństwa niezależnie od dostawcy łącza. Poszczególne elementy wchodzące w skład systemu bezpieczeństwa mogą być zrealizowane w postaci osobnych, komercyjnych platform sprzętowych lub komercyjnych aplikacji instalowanych na platformach ogólnego przeznaczenia. W przypadku implementacji programowej muszą być zapewnione niezbędne platformy sprzętowe wraz z odpowiednio zabezpieczonym systemem operacyjnym. </w:t>
      </w:r>
    </w:p>
    <w:p w14:paraId="29A2CD7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System realizujący funkcję Firewall zapewnia pracę w jednym z trzech trybów: Routera z funkcją NAT, transparentnym oraz monitorowania na porcie SPAN.</w:t>
      </w:r>
    </w:p>
    <w:p w14:paraId="65B04FA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System umożliwia budowę minimum 2 oddzielnych (fizycznych lub logicznych) instancji systemów w zakresie: Routingu, Firewall’a, IPSec VPN, Antywirus, IPS, Kontroli Aplikacji.</w:t>
      </w:r>
    </w:p>
    <w:p w14:paraId="37ED81B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Powinna istnieć możliwość dedykowania co najmniej 5 administratorów do poszczególnych instancji systemu.</w:t>
      </w:r>
    </w:p>
    <w:p w14:paraId="2D95B8C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System wspiera protokoły IPv4 oraz IPv6 w zakresie:</w:t>
      </w:r>
    </w:p>
    <w:p w14:paraId="63DE4A5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Firewall.</w:t>
      </w:r>
    </w:p>
    <w:p w14:paraId="61D7A1B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Ochrony w warstwie aplikacji.</w:t>
      </w:r>
    </w:p>
    <w:p w14:paraId="31F0D3EF" w14:textId="534E5424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Protokołów routingu dynamicznego.</w:t>
      </w:r>
    </w:p>
    <w:p w14:paraId="7EFF3AF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Redundancja, monitoring i wykrywanie awarii</w:t>
      </w:r>
    </w:p>
    <w:p w14:paraId="2085BF9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W przypadku systemu pełniącego funkcje: Firewall, IPSec, Kontrola Aplikacji oraz IPS – istnieje możliwość łączenia w klaster Active-Active lub Active-Passive. W obu trybach system firewall zapewnia funkcję synchronizacji sesji.</w:t>
      </w:r>
    </w:p>
    <w:p w14:paraId="4614D88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Monitoring i wykrywanie uszkodzenia elementów sprzętowych i programowych systemów zabezpieczeń oraz łączy sieciowych.</w:t>
      </w:r>
    </w:p>
    <w:p w14:paraId="28C4965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Monitoring stanu realizowanych połączeń VPN.</w:t>
      </w:r>
    </w:p>
    <w:p w14:paraId="18C8E19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System umożliwia agregację linków statyczną oraz w oparciu o protokół LACP. Ponadto daje możliwość tworzenia interfejsów redundantnych.</w:t>
      </w:r>
    </w:p>
    <w:p w14:paraId="6D8286F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Interfejsy, Dysk, Zasilanie:</w:t>
      </w:r>
    </w:p>
    <w:p w14:paraId="437F8A6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 xml:space="preserve">1. System realizujący funkcję Firewall dysponuje co najmniej poniższą liczbą i rodzajem interfejsów: </w:t>
      </w:r>
    </w:p>
    <w:p w14:paraId="0EEDEDA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min 4 portami Gigabit Ethernet RJ-45.</w:t>
      </w:r>
    </w:p>
    <w:p w14:paraId="2D433773" w14:textId="7EFECE9A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System Firewall posiada wbudowany port konsoli szeregowej oraz gniazdo USB umożliwiające instalację oprogramowania z klucza USB.</w:t>
      </w:r>
    </w:p>
    <w:p w14:paraId="06B304B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Funkcje Systemu Bezpieczeństwa:</w:t>
      </w:r>
    </w:p>
    <w:p w14:paraId="1CC843A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W ramach systemu ochrony są realizowane wszystkie poniższe funkcje. Mogą one być zrealizowane w postaci osobnych, komercyjnych platform sprzętowych lub programowych:</w:t>
      </w:r>
    </w:p>
    <w:p w14:paraId="49D77A5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Kontrola dostępu - zapora ogniowa klasy Stateful Inspection.</w:t>
      </w:r>
    </w:p>
    <w:p w14:paraId="6A7C2E7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Kontrola Aplikacji.</w:t>
      </w:r>
    </w:p>
    <w:p w14:paraId="390EAE0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Poufność transmisji danych - połączenia szyfrowane IPSec VPN .</w:t>
      </w:r>
    </w:p>
    <w:p w14:paraId="0336D12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Ochrona przed malware.</w:t>
      </w:r>
    </w:p>
    <w:p w14:paraId="6902AF1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Ochrona przed atakami - Intrusion Prevention System.</w:t>
      </w:r>
    </w:p>
    <w:p w14:paraId="2704E59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Kontrola stron WWW.</w:t>
      </w:r>
    </w:p>
    <w:p w14:paraId="01E8E4F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Kontrola zawartości poczty – Antyspam dla protokołów SMTP.</w:t>
      </w:r>
    </w:p>
    <w:p w14:paraId="5EA3BA8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8. Zarządzanie pasmem (QoS, Traffic shaping).</w:t>
      </w:r>
    </w:p>
    <w:p w14:paraId="4A37CA1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9. Dwuskładnikowe uwierzytelnianie z wykorzystaniem tokenów sprzętowych lub programowych. Konieczne są co najmniej 2 tokeny sprzętowe lub programowe, które będą zastosowane do dwu-składnikowego uwierzytelnienia administratorów lub w ramach połączeń VPN typu client-to-site.</w:t>
      </w:r>
    </w:p>
    <w:p w14:paraId="595117F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10. Inspekcja (minimum: IPS) ruchu szyfrowanego protokołem SSL/TLS, minimum dla następujących typów ruchu: HTTP (w tym HTTP/2), SMTP, FTP, POP3.</w:t>
      </w:r>
    </w:p>
    <w:p w14:paraId="17124F3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11. Możliwość filtrowania zapytań DNS w ruchu przechodzącym przez system.</w:t>
      </w:r>
    </w:p>
    <w:p w14:paraId="347649C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12. Rozwiązanie posiada wbudowane mechanizmy automatyzacji polegające na wykonaniu określonej sekwencji akcji (takich jak zmiana konfiguracji, wysłanie powiadomień do administratora) po wystąpieniu wybranego zdarzenia (np. naruszenie polityki bezpieczeństwa).</w:t>
      </w:r>
    </w:p>
    <w:p w14:paraId="38F810E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1FAC888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lastRenderedPageBreak/>
        <w:t>Polityki, Firewall</w:t>
      </w:r>
    </w:p>
    <w:p w14:paraId="38FEF93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Polityka Firewall uwzględnia: adresy IP, użytkowników, protokoły, usługi sieciowe, aplikacje lub zbiory aplikacji, reakcje zabezpieczeń, rejestrowanie zdarzeń.</w:t>
      </w:r>
    </w:p>
    <w:p w14:paraId="28AA853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System realizuje translację adresów NAT: źródłowego i docelowego, translację PAT oraz:</w:t>
      </w:r>
    </w:p>
    <w:p w14:paraId="30C5ACE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Translację jeden do jeden oraz jeden do wielu.</w:t>
      </w:r>
    </w:p>
    <w:p w14:paraId="2A87FC6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 xml:space="preserve">Dedykowany ALG (Application Level Gateway) dla protokołu SIP. </w:t>
      </w:r>
    </w:p>
    <w:p w14:paraId="3DEAE25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W ramach systemu istnieje możliwość tworzenia wydzielonych stref bezpieczeństwa np. DMZ, LAN, WAN.</w:t>
      </w:r>
    </w:p>
    <w:p w14:paraId="76FB200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Możliwość wykorzystania w polityce bezpieczeństwa zewnętrznych repozytoriów zawierających: adresy URL, adresy IP.</w:t>
      </w:r>
    </w:p>
    <w:p w14:paraId="1B081A9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Polityka firewall umożliwia filtrowanie ruchu w zależności od kraju, do którego przypisane są adresy IP źródłowe lub docelowe.</w:t>
      </w:r>
    </w:p>
    <w:p w14:paraId="20EFC96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Możliwość ustawienia przedziału czasu, w którym dana reguła w politykach firewall jest aktywna.</w:t>
      </w:r>
    </w:p>
    <w:p w14:paraId="2A0D312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Element systemu realizujący funkcję Firewall integruje się z następującymi rozwiązaniami SDN w celu dynamicznego pobierania informacji o zainstalowanych maszynach wirtualnych po to, aby użyć ich przy budowaniu polityk kontroli dostępu.</w:t>
      </w:r>
    </w:p>
    <w:p w14:paraId="572397B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Amazon Web Services (AWS).</w:t>
      </w:r>
    </w:p>
    <w:p w14:paraId="0B80D6B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Microsoft Azure.</w:t>
      </w:r>
    </w:p>
    <w:p w14:paraId="68BA3F5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Cisco ACI.</w:t>
      </w:r>
    </w:p>
    <w:p w14:paraId="4C1DA98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Google Cloud Platform (GCP).</w:t>
      </w:r>
    </w:p>
    <w:p w14:paraId="28FE6D1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OpenStack.</w:t>
      </w:r>
    </w:p>
    <w:p w14:paraId="43AC40F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VMware NSX.</w:t>
      </w:r>
    </w:p>
    <w:p w14:paraId="4245C26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Kubernetes.</w:t>
      </w:r>
    </w:p>
    <w:p w14:paraId="09401F3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7BF98DF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Połączenia VPN</w:t>
      </w:r>
    </w:p>
    <w:p w14:paraId="2FC81D8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System umożliwia konfigurację połączeń typu IPSec VPN. W zakresie tej funkcji zapewnia:</w:t>
      </w:r>
    </w:p>
    <w:p w14:paraId="2B2204A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Wsparcie dla IKE v1 oraz v2.</w:t>
      </w:r>
    </w:p>
    <w:p w14:paraId="531A875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Obsługę szyfrowania protokołem minimum AES z kluczem  128 oraz 256 bitów w trybie pracy Galois/Counter Mode(GCM).</w:t>
      </w:r>
    </w:p>
    <w:p w14:paraId="3BC6DF4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Obsługa protokołu Diffie-Hellman  grup 19, 20.</w:t>
      </w:r>
    </w:p>
    <w:p w14:paraId="5771B73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Wsparcie dla Pracy w topologii Hub and Spoke oraz Mesh.</w:t>
      </w:r>
    </w:p>
    <w:p w14:paraId="408E607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Tworzenie połączeń typu Site-to-Site oraz Client-to-Site.</w:t>
      </w:r>
    </w:p>
    <w:p w14:paraId="3117AAD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Monitorowanie stanu tuneli VPN i stałego utrzymywania ich aktywności.</w:t>
      </w:r>
    </w:p>
    <w:p w14:paraId="7402E73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Możliwość wyboru tunelu przez protokoły: dynamicznego routingu (np. OSPF) oraz routingu statycznego.</w:t>
      </w:r>
    </w:p>
    <w:p w14:paraId="2E6DA17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Wsparcie dla następujących typów uwierzytelniania: pre-shared key, certyfikat.</w:t>
      </w:r>
    </w:p>
    <w:p w14:paraId="3ED7522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Możliwość ustawienia maksymalnej liczby tuneli IPSec negocjowanych (nawiązywanych) jednocześnie w celu ochrony zasobów systemu.</w:t>
      </w:r>
    </w:p>
    <w:p w14:paraId="6578784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Możliwość monitorowania wybranego tunelu IPSec site-to-site i w przypadku jego niedostępności automatycznego aktywowania zapasowego tunelu.</w:t>
      </w:r>
    </w:p>
    <w:p w14:paraId="59AB96F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Obsługę mechanizmów: IPSec NAT Traversal, DPD, Xauth.</w:t>
      </w:r>
    </w:p>
    <w:p w14:paraId="26CB1A4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Mechanizm „Split tunneling” dla połączeń Client-to-Site.</w:t>
      </w:r>
    </w:p>
    <w:p w14:paraId="58BD125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Producent rozwiązania posiada w ofercie oprogramowanie klienckie VPN, które umożliwia realizację połączeń IPSec VPN lub SSL VPN. Oprogramowanie klienckie vpn jest dostępne jako opcja i nie jest wymagane w implementacji.</w:t>
      </w:r>
    </w:p>
    <w:p w14:paraId="6875F5B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106134D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Routing i obsługa łączy WAN</w:t>
      </w:r>
    </w:p>
    <w:p w14:paraId="7C350C7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W zakresie routingu rozwiązanie zapewnia obsługę:</w:t>
      </w:r>
    </w:p>
    <w:p w14:paraId="1A2D4FA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Routingu statycznego.</w:t>
      </w:r>
    </w:p>
    <w:p w14:paraId="5755D30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Policy Based Routingu (w tym: wybór trasy w zależności od adresu źródłowego, protokołu sieciowego).</w:t>
      </w:r>
    </w:p>
    <w:p w14:paraId="128E463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Protokołów dynamicznego routingu w oparciu o protokoły: RIPv2 (w tym RIPng), OSPF (w tym OSPFv3), BGP oraz PIM.</w:t>
      </w:r>
    </w:p>
    <w:p w14:paraId="77291B3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Możliwość filtrowania tras rozgłaszanych w protokołach dynamicznego routingu.</w:t>
      </w:r>
    </w:p>
    <w:p w14:paraId="7F06591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ECMP (Equal cost multi-path) – wybór wielu równoważnych tras w tablicy routingu.</w:t>
      </w:r>
    </w:p>
    <w:p w14:paraId="319472B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BFD (Bidirectional Forwarding Detection).</w:t>
      </w:r>
    </w:p>
    <w:p w14:paraId="27029D1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Monitoringu dostępności wybranego adresu IP z danego interfejsu urządzenia i w przypadku jego niedostępności automatyczne usunięcie wybranych tras z tablicy routingu.</w:t>
      </w:r>
    </w:p>
    <w:p w14:paraId="2A5172C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11AD9DC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Funkcje SD-WAN</w:t>
      </w:r>
    </w:p>
    <w:p w14:paraId="4C89BDF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System umożliwia wykorzystanie protokołów dynamicznego routingu przy konfiguracji równoważenia obciążenia do łączy WAN.</w:t>
      </w:r>
    </w:p>
    <w:p w14:paraId="5B48B5A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SD-WAN wspiera zarówno interfejsy fizyczne jak i wirtualne (w tym VLAN, IPSec).</w:t>
      </w:r>
    </w:p>
    <w:p w14:paraId="0F6E494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Zarządzanie pasmem</w:t>
      </w:r>
    </w:p>
    <w:p w14:paraId="14FDC85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System Firewall umożliwia zarządzanie pasmem poprzez określenie: maksymalnej i gwarantowanej ilości pasma, oznaczanie DSCP oraz wskazanie priorytetu ruchu.</w:t>
      </w:r>
    </w:p>
    <w:p w14:paraId="66FB772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System daje możliwość określania pasma dla poszczególnych aplikacji.</w:t>
      </w:r>
    </w:p>
    <w:p w14:paraId="5816692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System pozwala zdefiniować pasmo dla wybranych użytkowników niezależnie od ich adresu IP.</w:t>
      </w:r>
    </w:p>
    <w:p w14:paraId="6ECC1B0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System zapewnia możliwość zarządzania pasmem dla wybranych kategorii URL.</w:t>
      </w:r>
    </w:p>
    <w:p w14:paraId="27351DE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BC807D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Ochrona przed malware</w:t>
      </w:r>
    </w:p>
    <w:p w14:paraId="03E1D1C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Silnik antywirusowy umożliwia skanowanie ruchu w obu kierunkach komunikacji dla protokołów działających na niestandardowych portach (np. FTP na porcie 2021).</w:t>
      </w:r>
    </w:p>
    <w:p w14:paraId="0939466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Silnik antywirusowy zapewnia skanowanie następujących protokołów: HTTP, HTTPS, FTP, POP3, IMAP, SMTP, CIFS.</w:t>
      </w:r>
    </w:p>
    <w:p w14:paraId="754F0DC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W przypadku archiwów zagnieżdżonych istnieje możliwość określenia, ile zagnieżdżeń kompresji system będzie próbował zdekompresować w celu przeskanowania zawartości  lub umożliwia konfigurację maksymalnego czasu, który system bezpieczeństwa może poświęcić na dekompresję archiwum.</w:t>
      </w:r>
    </w:p>
    <w:p w14:paraId="74D13B4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System umożliwia blokowanie i logowanie archiwów, które nie mogą zostać przeskanowane, ponieważ są zaszyfrowane, uszkodzone lub system nie wspiera inspekcji tego typu archiwów.</w:t>
      </w:r>
    </w:p>
    <w:p w14:paraId="19DBE97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System dysponuje sygnaturami do ochrony urządzeń mobilnych (co najmniej dla systemu operacyjnego Android).</w:t>
      </w:r>
    </w:p>
    <w:p w14:paraId="24991A0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Baza sygnatur musi być aktualizowana automatycznie, zgodnie z harmonogramem definiowanym przez administratora.</w:t>
      </w:r>
    </w:p>
    <w:p w14:paraId="2088728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System współpracuje z dedykowaną platformą typu Sandbox lub usługą typu Sandbox realizowaną w chmurze. Konieczne jest zastosowanie platformy typu Sandbox wraz z niezbędnymi serwisami lub licencjami upoważniającymi do korzystania z usługi typu Sandbox w usłudze chmurowej realizowanej na terenie Unii Europejskiej.</w:t>
      </w:r>
    </w:p>
    <w:p w14:paraId="2D9EAC2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8. Możliwość wykorzystania silnika sztucznej inteligencji AI wytrenowanego przez laboratoria producenta.</w:t>
      </w:r>
    </w:p>
    <w:p w14:paraId="3B3EA7A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9. Możliwość uruchomienia ochrony przed malware dla wybranego zakresu ruchu.</w:t>
      </w:r>
    </w:p>
    <w:p w14:paraId="6DB2DC4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01B9807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Ochrona przed atakami</w:t>
      </w:r>
    </w:p>
    <w:p w14:paraId="4482F61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Ochrona IPS opiera się co najmniej na analizie sygnaturowej oraz na analizie anomalii w protokołach sieciowych.</w:t>
      </w:r>
    </w:p>
    <w:p w14:paraId="6F273FB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System chroni przed atakami na aplikacje pracujące na niestandardowych portach.</w:t>
      </w:r>
    </w:p>
    <w:p w14:paraId="4FC4809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4086C9C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Administrator systemu ma możliwość definiowania własnych wyjątków oraz własnych sygnatur.</w:t>
      </w:r>
    </w:p>
    <w:p w14:paraId="0DF86AE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System zapewnia wykrywanie anomalii protokołów i ruchu sieciowego, realizując tym samym podstawową ochronę przed atakami typu DoS oraz DDoS.</w:t>
      </w:r>
    </w:p>
    <w:p w14:paraId="0E29166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594E218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Mechanizmy ochrony dla aplikacji Web’owych na poziomie sygnaturowym (co najmniej ochrona przed: CSS, SQL Injecton, Trojany, Exploity, Roboty).</w:t>
      </w:r>
    </w:p>
    <w:p w14:paraId="2568E7E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Wykrywanie i blokowanie komunikacji C&amp;C do sieci botnet.</w:t>
      </w:r>
    </w:p>
    <w:p w14:paraId="4496253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Możliwość uruchomienia ochrony przed atakami dla wybranych zakresów komunikacji sieciowej. Mechanizmy ochrony IPS nie mogą działać globalnie.</w:t>
      </w:r>
    </w:p>
    <w:p w14:paraId="4F1DCE8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4589B37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Kontrola aplikacji</w:t>
      </w:r>
    </w:p>
    <w:p w14:paraId="4EB6B79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Funkcja Kontroli Aplikacji umożliwia kontrolę ruchu na podstawie głębokiej analizy pakietów, nie bazując jedynie na wartościach portów TCP/UDP.</w:t>
      </w:r>
    </w:p>
    <w:p w14:paraId="52AD1FA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56A310D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 xml:space="preserve">2. Aplikacje chmurowe (co najmniej: Facebook, Google Docs, Dropbox) są kontrolowane pod względem wykonywanych czynności, np.: pobieranie, wysyłanie plików. </w:t>
      </w:r>
    </w:p>
    <w:p w14:paraId="48C91E0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Baza sygnatur zawiera kategorie aplikacji szczególnie istotne z punktu widzenia bezpieczeństwa: proxy, P2P.</w:t>
      </w:r>
    </w:p>
    <w:p w14:paraId="669104C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 xml:space="preserve">4. Administrator systemu ma możliwość definiowania wyjątków oraz własnych sygnatur. </w:t>
      </w:r>
    </w:p>
    <w:p w14:paraId="6470F5C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Istnieje możliwość blokowania aplikacji działających na niestandardowych portach (np. FTP na porcie 2021).</w:t>
      </w:r>
    </w:p>
    <w:p w14:paraId="5C92731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System daje możliwość określenia dopuszczalnych protokołów na danym porcie TCP/UDP i blokowania pozostałych protokołów korzystających z tego portu (np. dopuszczenie tylko HTTP na porcie 80).</w:t>
      </w:r>
    </w:p>
    <w:p w14:paraId="79562D5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7A1669B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Kontrola WWW</w:t>
      </w:r>
    </w:p>
    <w:p w14:paraId="48E1E50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Moduł kontroli WWW korzysta z bazy zawierającej co najmniej 40 milionów adresów URL  pogrupowanych w kategorie tematyczne.</w:t>
      </w:r>
    </w:p>
    <w:p w14:paraId="1D1CE24A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W ramach filtra WWW są dostępne kategorie istotne z punktu widzenia bezpieczeństwa, jak: malware (lub inne będące źródłem złośliwego oprogramowania), phishing, spam, Dynamic DNS, proxy.</w:t>
      </w:r>
    </w:p>
    <w:p w14:paraId="7821FE0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Filtr WWW dostarcza kategorii stron zabronionych prawem np.: Hazard.</w:t>
      </w:r>
    </w:p>
    <w:p w14:paraId="4B1C62B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Administrator ma możliwość nadpisywania kategorii oraz tworzenia wyjątków – białe/czarne listy dla adresów URL.</w:t>
      </w:r>
    </w:p>
    <w:p w14:paraId="1B04A5A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Filtr WWW umożliwia statyczne dopuszczanie lub blokowanie ruchu do wybranych stron WWW, w tym pozwala definiować strony z zastosowaniem wyrażeń regularnych (Regex).</w:t>
      </w:r>
    </w:p>
    <w:p w14:paraId="1C54E6D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Filtr WWW daje możliwość wykonania akcji typu „Warning” – ostrzeżenie użytkownika wymagające od niego potwierdzenia przed otwarciem żądanej strony.</w:t>
      </w:r>
    </w:p>
    <w:p w14:paraId="0027BB4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Funkcja Safe Search – przeciwdziałająca pojawieniu się niechcianych treści w wynikach wyszukiwarek takich jak: Google oraz Yahoo.</w:t>
      </w:r>
    </w:p>
    <w:p w14:paraId="0F47E34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8. Administrator ma możliwość definiowania komunikatów zwracanych użytkownikowi dla różnych akcji podejmowanych przez moduł filtrowania WWW.</w:t>
      </w:r>
    </w:p>
    <w:p w14:paraId="53E7619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9. System pozwala określić, dla których kategorii URL lub wskazanych URL nie będzie realizowana inspekcja szyfrowanej komunikacji.</w:t>
      </w:r>
    </w:p>
    <w:p w14:paraId="6E974ED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DB8D65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Uwierzytelnianie użytkowników w ramach sesji</w:t>
      </w:r>
    </w:p>
    <w:p w14:paraId="7702A21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System Firewall umożliwia weryfikację tożsamości użytkowników za pomocą:</w:t>
      </w:r>
    </w:p>
    <w:p w14:paraId="3B111CD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Haseł statycznych i definicji użytkowników przechowywanych w lokalnej bazie systemu.</w:t>
      </w:r>
    </w:p>
    <w:p w14:paraId="1A8BCE2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Haseł statycznych i definicji użytkowników przechowywanych w bazach zgodnych z LDAP.</w:t>
      </w:r>
    </w:p>
    <w:p w14:paraId="00707F8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 xml:space="preserve">Haseł dynamicznych (RADIUS, RSA SecurID) w oparciu o zewnętrzne bazy danych. </w:t>
      </w:r>
    </w:p>
    <w:p w14:paraId="76D9B50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System daje możliwość zastosowania w tym procesie uwierzytelniania wieloskładnikowego.</w:t>
      </w:r>
    </w:p>
    <w:p w14:paraId="190212C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System umożliwia budowę architektury uwierzytelniania typu Single Sign On przy integracji ze środowiskiem Active Directory oraz zastosowanie innych mechanizmów: RADIUS, API lub SYSLOG w tym procesie.</w:t>
      </w:r>
    </w:p>
    <w:p w14:paraId="7F98184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Uwierzytelnianie w oparciu o protokół SAML w politykach bezpieczeństwa systemu dotyczących ruchu HTTP.</w:t>
      </w:r>
    </w:p>
    <w:p w14:paraId="08E7C1B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DFF819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Zarządzanie</w:t>
      </w:r>
    </w:p>
    <w:p w14:paraId="0E1B5E3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Elementy systemu bezpieczeństwa muszą mieć możliwość zarządzania lokalnego z wykorzystaniem protokołów: HTTPS oraz SSH, jak i mogą współpracować z dedykowanymi platformami centralnego zarządzania i monitorowania.</w:t>
      </w:r>
    </w:p>
    <w:p w14:paraId="4AFA2E1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Komunikacja elementów systemu zabezpieczeń z platformami centralnego zarządzania jest  realizowana z wykorzystaniem szyfrowanych protokołów.</w:t>
      </w:r>
    </w:p>
    <w:p w14:paraId="7AC6CE1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Istnieje możliwość włączenia mechanizmów uwierzytelniania wieloskładnikowego dla dostępu administracyjnego.</w:t>
      </w:r>
    </w:p>
    <w:p w14:paraId="37DE43B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System współpracuje z rozwiązaniami monitorowania poprzez protokoły SNMP w wersjach 2c, 3 oraz umożliwia przekazywanie statystyk ruchu za pomocą protokołów Netflow lub sFlow.</w:t>
      </w:r>
    </w:p>
    <w:p w14:paraId="64D8B632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System daje możliwość zarządzania przez systemy firm trzecich poprzez API, do którego producent udostępnia dokumentację.</w:t>
      </w:r>
    </w:p>
    <w:p w14:paraId="68D2798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Element systemu pełniący funkcję Firewall posiada wbudowane narzędzia diagnostyczne, przynajmniej: ping, traceroute, podglądu pakietów, monitorowanie procesowania sesji oraz stanu sesji firewall.</w:t>
      </w:r>
    </w:p>
    <w:p w14:paraId="6D8CEFF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7. Element systemu realizujący funkcję Firewall umożliwia wykonanie szeregu zmian przez administratora w CLI lub GUI, które nie zostaną zaimplementowane zanim nie zostaną zatwierdzone.</w:t>
      </w:r>
    </w:p>
    <w:p w14:paraId="52DE618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8. Możliwość przypisywania administratorom praw do zarządzania określonymi częściami systemu (RBM).</w:t>
      </w:r>
    </w:p>
    <w:p w14:paraId="38500B2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9. Możliwość zarządzania systemem tylko z określonych adresów źródłowych IP.</w:t>
      </w:r>
    </w:p>
    <w:p w14:paraId="71C896D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750388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t>Logowanie</w:t>
      </w:r>
    </w:p>
    <w:p w14:paraId="1B95A5A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1. 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</w:r>
    </w:p>
    <w:p w14:paraId="5701C9B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</w:r>
    </w:p>
    <w:p w14:paraId="7AA56D7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3. Logowanie obejmuje zdarzenia dotyczące wszystkich modułów sieciowych i bezpieczeństwa.</w:t>
      </w:r>
    </w:p>
    <w:p w14:paraId="376465B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4. Możliwość włączenia logowania per reguła w polityce firewall.</w:t>
      </w:r>
    </w:p>
    <w:p w14:paraId="219ED30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5. System zapewnia możliwość logowania do serwera SYSLOG.</w:t>
      </w:r>
    </w:p>
    <w:p w14:paraId="6513950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6. Przesyłanie SYSLOG do zewnętrznych systemów jest możliwe z wykorzystaniem protokołu TCP oraz szyfrowania SSL/TLS.</w:t>
      </w:r>
    </w:p>
    <w:p w14:paraId="3B4A132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23CE7E1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43C7080D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kern w:val="2"/>
          <w:sz w:val="20"/>
          <w:szCs w:val="20"/>
        </w:rPr>
        <w:lastRenderedPageBreak/>
        <w:t>Gwarancja oraz wsparcie</w:t>
      </w:r>
    </w:p>
    <w:p w14:paraId="458CA53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 xml:space="preserve">1. System jest objęty serwisem gwarancyjnym producenta przez okres [12] miesięcy, polegającym na naprawie lub wymianie urządzenia w przypadku jego wadliwości w trybie AHR (advanced hardware replacement). W ramach tego serwisu producent zapewnia dostęp do aktualizacji oprogramowania oraz wsparcie techniczne w trybie 24x7. Obsługa zgłoszenia w tym zwrot uszkodzonego urządzenia do producenta, bez dodatkowych kosztów po stronie zamawiającego, realizowana przez producenta lub autoryzowanego dystrybutora w języku polskim przez okres wymaganej gwarancji. </w:t>
      </w:r>
    </w:p>
    <w:p w14:paraId="3FAA847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2. Dostarczone rozwiązanie musi być objęte rozszerzonym wsparciem technicznym gwarantującym - w przypadku awarii - odbiór i zwrot urządzenia do producenta bez dodatkowych kosztów, realizowanym przez producenta rozwiązania lub autoryzowanego dystrybutora przez okres wymaganej gwarancji.</w:t>
      </w:r>
    </w:p>
    <w:p w14:paraId="0BA9D65B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0D9108D9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Do zamawianego sprzętu Wykonawca zapewni usługi wsparcia technicznego świadczone przez producenta lub Autoryzowanego Dystrybutora Producenta  w języku polskim w zakresie:</w:t>
      </w:r>
    </w:p>
    <w:p w14:paraId="100D319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obsługa procesu RMA u producenta,</w:t>
      </w:r>
    </w:p>
    <w:p w14:paraId="65354A7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zdalna pomoc w skonfigurowaniu urządzenia do współpracy z aktualnymi bazami funkcji ochronnych i serwisów producenta,</w:t>
      </w:r>
    </w:p>
    <w:p w14:paraId="4877CAA5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jednorazowa podstawowa konfiguracja platformy realizowana przez inżyniera z najwyższym dostępnym poziomem certyfikacji technicznej producenta,</w:t>
      </w:r>
    </w:p>
    <w:p w14:paraId="36A5F3FC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 xml:space="preserve">minimum 3 zdalne konsultacje techniczne z inżynierem posiadającym najwyższy poziom certyfikacji technicznej producenta, </w:t>
      </w:r>
    </w:p>
    <w:p w14:paraId="178DCE6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 xml:space="preserve">jednorazowa usługa hardeningu konfiguracji w formie zdalnej sesji technicznej mającej na celu przegląd konfiguracji urządzenia i przedstawienie zaleceń rekonfiguracji zgodnie z „dobrymi praktykami” producenta, </w:t>
      </w:r>
    </w:p>
    <w:p w14:paraId="3635418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Rozszerzone wsparcie serwisowe AHB/SOS</w:t>
      </w:r>
    </w:p>
    <w:p w14:paraId="341FC3A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kern w:val="2"/>
          <w:sz w:val="20"/>
          <w:szCs w:val="20"/>
        </w:rPr>
        <w:t>System jest objęty usługą wsparcia technicznego świadczoną przez producenta lub Autoryzowanego Dystrybutora Producenta w języku polskim w zakresie:</w:t>
      </w:r>
    </w:p>
    <w:p w14:paraId="41A13E20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Wsparcie telefoniczne zespołu certyfikowanych inżynierów.</w:t>
      </w:r>
    </w:p>
    <w:p w14:paraId="61D9196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Pomoc w prawidłowej i zgodnej z wymaganiami producenta rejestracji produktu.</w:t>
      </w:r>
    </w:p>
    <w:p w14:paraId="60B08511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Doradztwo w zakresie konfiguracji.</w:t>
      </w:r>
    </w:p>
    <w:p w14:paraId="6EEDD8A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Zdalne wsparcie techniczne.</w:t>
      </w:r>
    </w:p>
    <w:p w14:paraId="359D8C0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lastRenderedPageBreak/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Pomoc w zakładaniu zgłoszeń serwisowych u producenta.</w:t>
      </w:r>
    </w:p>
    <w:p w14:paraId="7812EBFE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Pomoc w procesie realizacji naprawy i wymiany w ramach gwarancji producenta  (również za granicą).</w:t>
      </w:r>
    </w:p>
    <w:p w14:paraId="08F47998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Przygotowanie urządzenia do zdalnej konfiguracji.</w:t>
      </w:r>
    </w:p>
    <w:p w14:paraId="25E97BA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Zdalna konfiguracja urządzenia (połączenia szyfrowane) zgodnie z wymaganiami użytkownika.</w:t>
      </w:r>
    </w:p>
    <w:p w14:paraId="093ABCA6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Minimum 5 zdalnych rekonfiguracja urządzenia w związku ze zmianą środowiska lub wymagań użytkownika.</w:t>
      </w:r>
    </w:p>
    <w:p w14:paraId="2D63D82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Minimum dwa razy w roku zdalny przegląd konfiguracji i logów urządzenia wraz z raportem zaleceń na bazie dobrych praktyk inżynierskich.</w:t>
      </w:r>
    </w:p>
    <w:p w14:paraId="6A679A8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Minimum dwa razy w roku zdalna aktualizacja oprogramowania zgodnie z zaleceniami producenta i dobrych praktyk inżynierskich.</w:t>
      </w:r>
    </w:p>
    <w:p w14:paraId="239FB80F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Oświadczanie Producenta lub Autoryzowanego Dystrybutora świadczącego wsparcie techniczne  o gotowości świadczenia wymaganego serwisu (zawierające: adres strony internetowej serwisu i numer infolinii telefonicznej).</w:t>
      </w:r>
    </w:p>
    <w:p w14:paraId="4164E5D3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 </w:t>
      </w:r>
      <w:r>
        <w:rPr>
          <w:rFonts w:ascii="Arial" w:eastAsia="Calibri" w:hAnsi="Arial" w:cs="Arial"/>
          <w:kern w:val="2"/>
          <w:sz w:val="20"/>
          <w:szCs w:val="20"/>
        </w:rPr>
        <w:t>•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kern w:val="2"/>
          <w:sz w:val="20"/>
          <w:szCs w:val="20"/>
        </w:rPr>
        <w:t>Certyfikat ISO 9001 podmiotu serwisującego.</w:t>
      </w:r>
    </w:p>
    <w:p w14:paraId="56D1A957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kern w:val="2"/>
          <w:sz w:val="20"/>
          <w:szCs w:val="20"/>
        </w:rPr>
        <w:t xml:space="preserve">   </w:t>
      </w:r>
    </w:p>
    <w:p w14:paraId="445A58B4" w14:textId="6CB944C1" w:rsidR="0010070D" w:rsidRDefault="0010070D" w:rsidP="0010070D">
      <w:pPr>
        <w:spacing w:after="160" w:line="276" w:lineRule="auto"/>
        <w:rPr>
          <w:rFonts w:ascii="Arial" w:hAnsi="Arial" w:cs="Arial"/>
          <w:color w:val="212529"/>
          <w:sz w:val="20"/>
          <w:szCs w:val="20"/>
        </w:rPr>
      </w:pPr>
      <w:r w:rsidRPr="0010070D">
        <w:rPr>
          <w:rFonts w:ascii="Arial" w:eastAsia="Arial" w:hAnsi="Arial" w:cs="Arial"/>
          <w:b/>
          <w:bCs/>
          <w:kern w:val="2"/>
          <w:sz w:val="20"/>
          <w:szCs w:val="20"/>
        </w:rPr>
        <w:t xml:space="preserve">Poz. nr </w:t>
      </w:r>
      <w:r>
        <w:rPr>
          <w:rFonts w:ascii="Arial" w:eastAsia="Arial" w:hAnsi="Arial" w:cs="Arial"/>
          <w:b/>
          <w:bCs/>
          <w:kern w:val="2"/>
          <w:sz w:val="20"/>
          <w:szCs w:val="20"/>
        </w:rPr>
        <w:t>4</w:t>
      </w:r>
      <w:r w:rsidRPr="0010070D">
        <w:rPr>
          <w:rFonts w:ascii="Arial" w:eastAsia="Arial" w:hAnsi="Arial" w:cs="Arial"/>
          <w:b/>
          <w:bCs/>
          <w:kern w:val="2"/>
          <w:sz w:val="20"/>
          <w:szCs w:val="20"/>
        </w:rPr>
        <w:t xml:space="preserve"> - </w:t>
      </w:r>
      <w:r>
        <w:rPr>
          <w:rFonts w:ascii="Arial" w:eastAsia="Arial" w:hAnsi="Arial" w:cs="Arial"/>
          <w:b/>
          <w:bCs/>
          <w:kern w:val="2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kern w:val="2"/>
          <w:sz w:val="20"/>
          <w:szCs w:val="20"/>
        </w:rPr>
        <w:t xml:space="preserve">Dostawa Switcha – 1 szt. </w:t>
      </w:r>
    </w:p>
    <w:tbl>
      <w:tblPr>
        <w:tblW w:w="962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4814"/>
        <w:gridCol w:w="4813"/>
      </w:tblGrid>
      <w:tr w:rsidR="0010070D" w14:paraId="0E2FB1D5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D305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Porty miedziane RJ-45 dla połączeń 100M / 1G / 2,5G / 5G / 10G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15AA7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12</w:t>
            </w:r>
          </w:p>
        </w:tc>
      </w:tr>
      <w:tr w:rsidR="0010070D" w14:paraId="03519CE6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E0D7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Porty SFP+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F753F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2 (współdzielone)</w:t>
            </w:r>
          </w:p>
        </w:tc>
      </w:tr>
      <w:tr w:rsidR="0010070D" w14:paraId="65152BBB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CE112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Obudowa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5CA0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Montaż w szafie</w:t>
            </w:r>
          </w:p>
        </w:tc>
      </w:tr>
      <w:tr w:rsidR="0010070D" w14:paraId="3BA8DCC1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9B51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Pamięć buforowania pakietów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7255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3MB</w:t>
            </w:r>
          </w:p>
        </w:tc>
      </w:tr>
      <w:tr w:rsidR="0010070D" w14:paraId="119B9DDF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A297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lastRenderedPageBreak/>
              <w:t>Przepustowość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F69D3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240 Gb/s</w:t>
            </w:r>
          </w:p>
        </w:tc>
      </w:tr>
      <w:tr w:rsidR="0010070D" w14:paraId="08995014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1BCD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Rozmiar bazy danych adresów MAC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B4C42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32 tys.</w:t>
            </w:r>
          </w:p>
        </w:tc>
      </w:tr>
      <w:tr w:rsidR="0010070D" w14:paraId="75D98A65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C968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VLAN (obsługiwana liczba)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992F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64</w:t>
            </w:r>
          </w:p>
        </w:tc>
      </w:tr>
      <w:tr w:rsidR="0010070D" w14:paraId="54241985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3B3B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Liczba LAG oraz łącz składowych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07B2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8 trybów agregacji łączy po maks. 8 łączy składowych</w:t>
            </w:r>
          </w:p>
        </w:tc>
      </w:tr>
      <w:tr w:rsidR="0010070D" w14:paraId="02C6E0D2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E5B3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Obsługa grup transmisji Multicast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FCA76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128</w:t>
            </w:r>
          </w:p>
        </w:tc>
      </w:tr>
      <w:tr w:rsidR="0010070D" w14:paraId="0742F560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B8480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Maks. liczba dozwolonych portów źródłowych (wiele do jednego, lustrzana duplikacja portów)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6DC6C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11</w:t>
            </w:r>
          </w:p>
        </w:tc>
      </w:tr>
      <w:tr w:rsidR="0010070D" w14:paraId="39CD1DC8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C2B0F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Wentylator(y)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A75A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2 (wentylatory aktywne)</w:t>
            </w:r>
          </w:p>
        </w:tc>
      </w:tr>
      <w:tr w:rsidR="0010070D" w14:paraId="2BAE67B8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C65B0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IEEE 802.3az (Ethernet energooszczędny)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D738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Tak</w:t>
            </w:r>
          </w:p>
        </w:tc>
      </w:tr>
      <w:tr w:rsidR="0010070D" w14:paraId="1BD378DB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D8A8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Maksymalne zużycie energii (W)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D8490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7,56W</w:t>
            </w:r>
          </w:p>
        </w:tc>
      </w:tr>
      <w:tr w:rsidR="0010070D" w14:paraId="27748BCD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3CA8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Wskaźniki LED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BD5E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Zasilanie, szybkość, połączenie/aktywność</w:t>
            </w:r>
          </w:p>
        </w:tc>
      </w:tr>
      <w:tr w:rsidR="0010070D" w14:paraId="6309BCDA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40A58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Poziom hałasu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A7C3" w14:textId="77777777" w:rsidR="0010070D" w:rsidRDefault="0010070D" w:rsidP="00864954">
            <w:r>
              <w:rPr>
                <w:rFonts w:ascii="Arial" w:eastAsia="Arial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 xml:space="preserve"> </w:t>
            </w: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25°C (dBA)  29,3 dBA</w:t>
            </w:r>
          </w:p>
        </w:tc>
      </w:tr>
      <w:tr w:rsidR="0010070D" w14:paraId="3BB06DC5" w14:textId="77777777" w:rsidTr="00864954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EF4F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lastRenderedPageBreak/>
              <w:t>Temperatura robocza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63B1" w14:textId="77777777" w:rsidR="0010070D" w:rsidRDefault="0010070D" w:rsidP="00864954">
            <w:pPr>
              <w:rPr>
                <w:rFonts w:ascii="Arial" w:hAnsi="Arial" w:cs="Arial"/>
                <w:color w:val="212529"/>
                <w:sz w:val="20"/>
                <w:szCs w:val="20"/>
              </w:rPr>
            </w:pPr>
            <w:r>
              <w:rPr>
                <w:rFonts w:ascii="Arial" w:eastAsia="NSimSun" w:hAnsi="Arial" w:cs="Arial"/>
                <w:color w:val="212529"/>
                <w:kern w:val="2"/>
                <w:sz w:val="20"/>
                <w:szCs w:val="20"/>
                <w:lang w:eastAsia="zh-CN" w:bidi="hi-IN"/>
              </w:rPr>
              <w:t> 0–50°C</w:t>
            </w:r>
          </w:p>
        </w:tc>
      </w:tr>
    </w:tbl>
    <w:p w14:paraId="7A6FEAC4" w14:textId="77777777" w:rsidR="0010070D" w:rsidRDefault="0010070D" w:rsidP="0010070D">
      <w:pPr>
        <w:spacing w:after="160" w:line="276" w:lineRule="auto"/>
        <w:rPr>
          <w:rFonts w:ascii="Arial" w:eastAsia="Calibri" w:hAnsi="Arial" w:cs="Arial"/>
          <w:sz w:val="20"/>
          <w:szCs w:val="20"/>
        </w:rPr>
      </w:pPr>
    </w:p>
    <w:p w14:paraId="328E56FE" w14:textId="77777777" w:rsidR="0010070D" w:rsidRDefault="0010070D" w:rsidP="0010070D">
      <w:pPr>
        <w:spacing w:after="160" w:line="276" w:lineRule="auto"/>
        <w:rPr>
          <w:rFonts w:eastAsia="Calibri" w:cs="Calibri"/>
          <w:b/>
          <w:bCs/>
          <w:sz w:val="20"/>
          <w:szCs w:val="20"/>
        </w:rPr>
      </w:pPr>
    </w:p>
    <w:p w14:paraId="129ED890" w14:textId="77777777" w:rsidR="00D73CC0" w:rsidRPr="002026E0" w:rsidRDefault="00D73CC0" w:rsidP="002026E0">
      <w:pPr>
        <w:spacing w:before="0" w:after="160" w:line="278" w:lineRule="auto"/>
        <w:rPr>
          <w:rFonts w:eastAsia="Calibri"/>
          <w:b/>
          <w:bCs/>
          <w:kern w:val="2"/>
          <w14:ligatures w14:val="standardContextual"/>
        </w:rPr>
      </w:pPr>
    </w:p>
    <w:p w14:paraId="20028106" w14:textId="59AFCB7E" w:rsidR="00D73CC0" w:rsidRPr="001D35CC" w:rsidRDefault="00D73CC0" w:rsidP="00D73CC0">
      <w:pPr>
        <w:spacing w:before="0" w:after="160" w:line="278" w:lineRule="auto"/>
        <w:rPr>
          <w:rFonts w:eastAsia="Calibri"/>
          <w:kern w:val="2"/>
          <w14:ligatures w14:val="standardContextual"/>
        </w:rPr>
      </w:pPr>
    </w:p>
    <w:p w14:paraId="08162E38" w14:textId="03EAE4F2" w:rsidR="000718A5" w:rsidRPr="001D35CC" w:rsidRDefault="000718A5" w:rsidP="00ED13D3">
      <w:pPr>
        <w:spacing w:before="0" w:after="160" w:line="278" w:lineRule="auto"/>
        <w:rPr>
          <w:rFonts w:eastAsia="Calibri"/>
          <w:kern w:val="2"/>
          <w14:ligatures w14:val="standardContextual"/>
        </w:rPr>
      </w:pPr>
    </w:p>
    <w:sectPr w:rsidR="000718A5" w:rsidRPr="001D35CC" w:rsidSect="0085441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 w:code="9"/>
      <w:pgMar w:top="1843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63543" w14:textId="77777777" w:rsidR="00F711F5" w:rsidRDefault="00F711F5">
      <w:r>
        <w:separator/>
      </w:r>
    </w:p>
  </w:endnote>
  <w:endnote w:type="continuationSeparator" w:id="0">
    <w:p w14:paraId="4559A605" w14:textId="77777777" w:rsidR="00F711F5" w:rsidRDefault="00F7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F711F5" w:rsidRDefault="00F711F5" w:rsidP="002A0E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F711F5" w:rsidRDefault="00F711F5">
    <w:pPr>
      <w:pStyle w:val="Stopka"/>
    </w:pPr>
  </w:p>
  <w:p w14:paraId="1602D4FB" w14:textId="77777777" w:rsidR="00F711F5" w:rsidRDefault="00F711F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F711F5" w:rsidRPr="00C24F21" w:rsidRDefault="00F711F5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4764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3F982CE1" w:rsidR="00F711F5" w:rsidRPr="00A25198" w:rsidRDefault="00F711F5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1C3CCE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" name="Obraz 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C8C00" w14:textId="77777777" w:rsidR="00F711F5" w:rsidRDefault="00F711F5">
      <w:r>
        <w:separator/>
      </w:r>
    </w:p>
  </w:footnote>
  <w:footnote w:type="continuationSeparator" w:id="0">
    <w:p w14:paraId="0C9A06E7" w14:textId="77777777" w:rsidR="00F711F5" w:rsidRDefault="00F71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F711F5" w:rsidRDefault="00F711F5">
    <w:pPr>
      <w:pStyle w:val="Nagwek"/>
    </w:pPr>
  </w:p>
  <w:p w14:paraId="5AAFDA95" w14:textId="77777777" w:rsidR="00F711F5" w:rsidRDefault="00F711F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b/>
      </w:rPr>
    </w:sdtEndPr>
    <w:sdtContent>
      <w:p w14:paraId="5769DBD3" w14:textId="4F603F92" w:rsidR="00F711F5" w:rsidRPr="00ED13D3" w:rsidRDefault="00F711F5" w:rsidP="00482EA3">
        <w:pPr>
          <w:pStyle w:val="Nagwek"/>
          <w:jc w:val="right"/>
          <w:rPr>
            <w:rFonts w:asciiTheme="minorHAnsi" w:hAnsiTheme="minorHAnsi" w:cstheme="minorHAnsi"/>
            <w:b/>
          </w:rPr>
        </w:pPr>
        <w:r w:rsidRPr="00ED13D3">
          <w:rPr>
            <w:rFonts w:asciiTheme="minorHAnsi" w:hAnsiTheme="minorHAnsi" w:cstheme="minorHAnsi"/>
            <w:b/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ED13D3">
          <w:rPr>
            <w:rFonts w:asciiTheme="minorHAnsi" w:hAnsiTheme="minorHAnsi" w:cstheme="minorHAnsi"/>
            <w:b/>
          </w:rPr>
          <w:t>Załącznik Nr 8</w:t>
        </w:r>
        <w:r w:rsidR="00FA7059">
          <w:rPr>
            <w:rFonts w:asciiTheme="minorHAnsi" w:hAnsiTheme="minorHAnsi" w:cstheme="minorHAnsi"/>
            <w:b/>
          </w:rPr>
          <w:t>b</w:t>
        </w:r>
        <w:r w:rsidRPr="00ED13D3">
          <w:rPr>
            <w:rFonts w:asciiTheme="minorHAnsi" w:hAnsiTheme="minorHAnsi" w:cstheme="minorHAnsi"/>
            <w:b/>
          </w:rPr>
          <w:t xml:space="preserve"> do SWZ</w:t>
        </w:r>
      </w:p>
    </w:sdtContent>
  </w:sdt>
  <w:p w14:paraId="47D7D2A7" w14:textId="77777777" w:rsidR="00F711F5" w:rsidRDefault="00F711F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F711F5" w:rsidRDefault="00F711F5" w:rsidP="002A0E2D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4F6"/>
    <w:multiLevelType w:val="multilevel"/>
    <w:tmpl w:val="5456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03AB6C48"/>
    <w:multiLevelType w:val="multilevel"/>
    <w:tmpl w:val="A6DA9CA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29A604A"/>
    <w:multiLevelType w:val="multilevel"/>
    <w:tmpl w:val="77C0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147B6889"/>
    <w:multiLevelType w:val="multilevel"/>
    <w:tmpl w:val="3D8E04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3DF6D50"/>
    <w:multiLevelType w:val="multilevel"/>
    <w:tmpl w:val="CAC20B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3FB1BB5"/>
    <w:multiLevelType w:val="multilevel"/>
    <w:tmpl w:val="4B1C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>
    <w:nsid w:val="25197BF2"/>
    <w:multiLevelType w:val="multilevel"/>
    <w:tmpl w:val="B2C24D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8113CC3"/>
    <w:multiLevelType w:val="multilevel"/>
    <w:tmpl w:val="912A9E3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2BE7007A"/>
    <w:multiLevelType w:val="multilevel"/>
    <w:tmpl w:val="DF30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nsid w:val="312648DF"/>
    <w:multiLevelType w:val="multilevel"/>
    <w:tmpl w:val="964C88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3AC0697"/>
    <w:multiLevelType w:val="multilevel"/>
    <w:tmpl w:val="E5F0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1">
    <w:nsid w:val="34071D57"/>
    <w:multiLevelType w:val="multilevel"/>
    <w:tmpl w:val="8FC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2">
    <w:nsid w:val="351F12E3"/>
    <w:multiLevelType w:val="multilevel"/>
    <w:tmpl w:val="9BA47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395520A4"/>
    <w:multiLevelType w:val="multilevel"/>
    <w:tmpl w:val="B92668B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4">
    <w:nsid w:val="44A94A3C"/>
    <w:multiLevelType w:val="multilevel"/>
    <w:tmpl w:val="6458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nsid w:val="54342930"/>
    <w:multiLevelType w:val="multilevel"/>
    <w:tmpl w:val="BC8A6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6">
    <w:nsid w:val="54B325BC"/>
    <w:multiLevelType w:val="multilevel"/>
    <w:tmpl w:val="91D4E5E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4FE64E6"/>
    <w:multiLevelType w:val="multilevel"/>
    <w:tmpl w:val="17EC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8">
    <w:nsid w:val="556F4A93"/>
    <w:multiLevelType w:val="multilevel"/>
    <w:tmpl w:val="38765C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79C387D"/>
    <w:multiLevelType w:val="multilevel"/>
    <w:tmpl w:val="818C5D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1BB0AA5"/>
    <w:multiLevelType w:val="multilevel"/>
    <w:tmpl w:val="227E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1">
    <w:nsid w:val="61D91AC9"/>
    <w:multiLevelType w:val="multilevel"/>
    <w:tmpl w:val="972CD6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6497388D"/>
    <w:multiLevelType w:val="multilevel"/>
    <w:tmpl w:val="8CECC6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7685A78"/>
    <w:multiLevelType w:val="multilevel"/>
    <w:tmpl w:val="EB7213F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67BC5AC3"/>
    <w:multiLevelType w:val="multilevel"/>
    <w:tmpl w:val="767AAE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9693F98"/>
    <w:multiLevelType w:val="multilevel"/>
    <w:tmpl w:val="EF309C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CF1287F"/>
    <w:multiLevelType w:val="multilevel"/>
    <w:tmpl w:val="9546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7">
    <w:nsid w:val="73A558A3"/>
    <w:multiLevelType w:val="multilevel"/>
    <w:tmpl w:val="7286EC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3"/>
  </w:num>
  <w:num w:numId="2">
    <w:abstractNumId w:val="18"/>
  </w:num>
  <w:num w:numId="3">
    <w:abstractNumId w:val="22"/>
  </w:num>
  <w:num w:numId="4">
    <w:abstractNumId w:val="3"/>
  </w:num>
  <w:num w:numId="5">
    <w:abstractNumId w:val="21"/>
  </w:num>
  <w:num w:numId="6">
    <w:abstractNumId w:val="25"/>
  </w:num>
  <w:num w:numId="7">
    <w:abstractNumId w:val="12"/>
  </w:num>
  <w:num w:numId="8">
    <w:abstractNumId w:val="27"/>
  </w:num>
  <w:num w:numId="9">
    <w:abstractNumId w:val="9"/>
  </w:num>
  <w:num w:numId="10">
    <w:abstractNumId w:val="4"/>
  </w:num>
  <w:num w:numId="11">
    <w:abstractNumId w:val="0"/>
  </w:num>
  <w:num w:numId="12">
    <w:abstractNumId w:val="2"/>
  </w:num>
  <w:num w:numId="13">
    <w:abstractNumId w:val="15"/>
  </w:num>
  <w:num w:numId="14">
    <w:abstractNumId w:val="8"/>
  </w:num>
  <w:num w:numId="15">
    <w:abstractNumId w:val="20"/>
  </w:num>
  <w:num w:numId="16">
    <w:abstractNumId w:val="14"/>
  </w:num>
  <w:num w:numId="17">
    <w:abstractNumId w:val="11"/>
  </w:num>
  <w:num w:numId="18">
    <w:abstractNumId w:val="17"/>
  </w:num>
  <w:num w:numId="19">
    <w:abstractNumId w:val="5"/>
  </w:num>
  <w:num w:numId="20">
    <w:abstractNumId w:val="26"/>
  </w:num>
  <w:num w:numId="21">
    <w:abstractNumId w:val="10"/>
  </w:num>
  <w:num w:numId="22">
    <w:abstractNumId w:val="23"/>
  </w:num>
  <w:num w:numId="23">
    <w:abstractNumId w:val="1"/>
  </w:num>
  <w:num w:numId="24">
    <w:abstractNumId w:val="24"/>
  </w:num>
  <w:num w:numId="25">
    <w:abstractNumId w:val="16"/>
  </w:num>
  <w:num w:numId="26">
    <w:abstractNumId w:val="6"/>
  </w:num>
  <w:num w:numId="27">
    <w:abstractNumId w:val="7"/>
  </w:num>
  <w:num w:numId="28">
    <w:abstractNumId w:val="1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5EED"/>
    <w:rsid w:val="0004603C"/>
    <w:rsid w:val="00065C40"/>
    <w:rsid w:val="000718A5"/>
    <w:rsid w:val="00086C18"/>
    <w:rsid w:val="00094EF6"/>
    <w:rsid w:val="000E21EF"/>
    <w:rsid w:val="0010070D"/>
    <w:rsid w:val="0010162A"/>
    <w:rsid w:val="001561C5"/>
    <w:rsid w:val="00156D6C"/>
    <w:rsid w:val="001735E4"/>
    <w:rsid w:val="00184CD4"/>
    <w:rsid w:val="001D35CC"/>
    <w:rsid w:val="002026E0"/>
    <w:rsid w:val="00205D9A"/>
    <w:rsid w:val="00206644"/>
    <w:rsid w:val="00214307"/>
    <w:rsid w:val="002571F6"/>
    <w:rsid w:val="00285B78"/>
    <w:rsid w:val="00294497"/>
    <w:rsid w:val="002A0E2D"/>
    <w:rsid w:val="002B08FC"/>
    <w:rsid w:val="002D66BB"/>
    <w:rsid w:val="002E6BDD"/>
    <w:rsid w:val="002F66E8"/>
    <w:rsid w:val="00310274"/>
    <w:rsid w:val="003134FE"/>
    <w:rsid w:val="003816DA"/>
    <w:rsid w:val="00385FFB"/>
    <w:rsid w:val="00386D37"/>
    <w:rsid w:val="003A68A6"/>
    <w:rsid w:val="003C514C"/>
    <w:rsid w:val="003D1B81"/>
    <w:rsid w:val="00412555"/>
    <w:rsid w:val="004617D7"/>
    <w:rsid w:val="00482EA3"/>
    <w:rsid w:val="004844AD"/>
    <w:rsid w:val="0048787F"/>
    <w:rsid w:val="0049680F"/>
    <w:rsid w:val="004B6CE7"/>
    <w:rsid w:val="004E62F6"/>
    <w:rsid w:val="004E74B2"/>
    <w:rsid w:val="005115C2"/>
    <w:rsid w:val="005405EB"/>
    <w:rsid w:val="00554327"/>
    <w:rsid w:val="005A056A"/>
    <w:rsid w:val="005B7917"/>
    <w:rsid w:val="005C3446"/>
    <w:rsid w:val="005E22E2"/>
    <w:rsid w:val="00624764"/>
    <w:rsid w:val="00674F52"/>
    <w:rsid w:val="006760F1"/>
    <w:rsid w:val="006B081B"/>
    <w:rsid w:val="006C5D25"/>
    <w:rsid w:val="006D19B4"/>
    <w:rsid w:val="006E040C"/>
    <w:rsid w:val="007021C9"/>
    <w:rsid w:val="007077F2"/>
    <w:rsid w:val="00712402"/>
    <w:rsid w:val="00735813"/>
    <w:rsid w:val="00757700"/>
    <w:rsid w:val="00760990"/>
    <w:rsid w:val="00761B48"/>
    <w:rsid w:val="00780D75"/>
    <w:rsid w:val="007B6B01"/>
    <w:rsid w:val="0085441A"/>
    <w:rsid w:val="00863D3F"/>
    <w:rsid w:val="0088784C"/>
    <w:rsid w:val="00890343"/>
    <w:rsid w:val="008C4DE6"/>
    <w:rsid w:val="00952192"/>
    <w:rsid w:val="009A4EE2"/>
    <w:rsid w:val="009A5797"/>
    <w:rsid w:val="009B6086"/>
    <w:rsid w:val="009B7B29"/>
    <w:rsid w:val="009E55DD"/>
    <w:rsid w:val="00A25198"/>
    <w:rsid w:val="00A34049"/>
    <w:rsid w:val="00A42564"/>
    <w:rsid w:val="00A62C0B"/>
    <w:rsid w:val="00A66B15"/>
    <w:rsid w:val="00A834F4"/>
    <w:rsid w:val="00A8394D"/>
    <w:rsid w:val="00A97B93"/>
    <w:rsid w:val="00AD274B"/>
    <w:rsid w:val="00AF3CB9"/>
    <w:rsid w:val="00AF4EB4"/>
    <w:rsid w:val="00B21410"/>
    <w:rsid w:val="00B371AE"/>
    <w:rsid w:val="00B546E9"/>
    <w:rsid w:val="00B619ED"/>
    <w:rsid w:val="00B82EF6"/>
    <w:rsid w:val="00BA5957"/>
    <w:rsid w:val="00BC5B80"/>
    <w:rsid w:val="00BC79CC"/>
    <w:rsid w:val="00C06AC7"/>
    <w:rsid w:val="00C0733F"/>
    <w:rsid w:val="00C14A13"/>
    <w:rsid w:val="00C2469D"/>
    <w:rsid w:val="00C24F21"/>
    <w:rsid w:val="00C3461A"/>
    <w:rsid w:val="00C965EE"/>
    <w:rsid w:val="00CA4211"/>
    <w:rsid w:val="00CB53C1"/>
    <w:rsid w:val="00CC431D"/>
    <w:rsid w:val="00CF1AB9"/>
    <w:rsid w:val="00D73CC0"/>
    <w:rsid w:val="00D94251"/>
    <w:rsid w:val="00DC0C56"/>
    <w:rsid w:val="00DF2A64"/>
    <w:rsid w:val="00E1663C"/>
    <w:rsid w:val="00E379B1"/>
    <w:rsid w:val="00E747B8"/>
    <w:rsid w:val="00EA5546"/>
    <w:rsid w:val="00EB7791"/>
    <w:rsid w:val="00ED13D3"/>
    <w:rsid w:val="00EE07DF"/>
    <w:rsid w:val="00EE312E"/>
    <w:rsid w:val="00F26803"/>
    <w:rsid w:val="00F6134F"/>
    <w:rsid w:val="00F6213F"/>
    <w:rsid w:val="00F711F5"/>
    <w:rsid w:val="00F753C2"/>
    <w:rsid w:val="00F8620F"/>
    <w:rsid w:val="00FA7059"/>
    <w:rsid w:val="00FC7755"/>
    <w:rsid w:val="00FD0E2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285B78"/>
    <w:pPr>
      <w:suppressAutoHyphens/>
    </w:pPr>
    <w:rPr>
      <w:rFonts w:eastAsia="Calibri" w:cs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4F5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D13D3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386D37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F711F5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D73CC0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39"/>
    <w:rsid w:val="00A62C0B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285B78"/>
    <w:pPr>
      <w:suppressAutoHyphens/>
    </w:pPr>
    <w:rPr>
      <w:rFonts w:eastAsia="Calibri" w:cs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4F5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D13D3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386D37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F711F5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basedOn w:val="Standardowy"/>
    <w:next w:val="Tabela-Siatka"/>
    <w:uiPriority w:val="39"/>
    <w:rsid w:val="00D73CC0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39"/>
    <w:rsid w:val="00A62C0B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0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epeat.net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0dd89f5d-ed21-4c6e-8756-c49d8958fa2c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fee5f0c2-8058-4274-a625-611a6a34604d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8AA62-5668-4E8F-A01E-441F1327A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26</Pages>
  <Words>4587</Words>
  <Characters>32540</Characters>
  <Application>Microsoft Office Word</Application>
  <DocSecurity>0</DocSecurity>
  <Lines>271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37053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10</cp:revision>
  <cp:lastPrinted>2018-03-26T09:55:00Z</cp:lastPrinted>
  <dcterms:created xsi:type="dcterms:W3CDTF">2025-08-11T10:51:00Z</dcterms:created>
  <dcterms:modified xsi:type="dcterms:W3CDTF">2026-02-03T11:35:00Z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